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color w:val="0000ff"/>
          <w:sz w:val="28"/>
          <w:szCs w:val="28"/>
        </w:rPr>
      </w:pPr>
      <w:bookmarkStart w:colFirst="0" w:colLast="0" w:name="_loaqznmzhhp3" w:id="0"/>
      <w:bookmarkEnd w:id="0"/>
      <w:r w:rsidDel="00000000" w:rsidR="00000000" w:rsidRPr="00000000">
        <w:rPr>
          <w:b w:val="1"/>
          <w:color w:val="0000ff"/>
          <w:sz w:val="28"/>
          <w:szCs w:val="28"/>
          <w:rtl w:val="0"/>
        </w:rPr>
        <w:t xml:space="preserve">CoinEx’ten Yeni Kampanya: “</w:t>
      </w:r>
      <w:r w:rsidDel="00000000" w:rsidR="00000000" w:rsidRPr="00000000">
        <w:rPr>
          <w:b w:val="1"/>
          <w:color w:val="0000ff"/>
          <w:sz w:val="28"/>
          <w:szCs w:val="28"/>
          <w:highlight w:val="white"/>
          <w:rtl w:val="0"/>
        </w:rPr>
        <w:t xml:space="preserve">CET Özel Etkinliği: İşlem Hacmi Yarışmasına Katılın, 300.000 CET Paylaşın”</w:t>
      </w:r>
      <w:r w:rsidDel="00000000" w:rsidR="00000000" w:rsidRPr="00000000">
        <w:rPr>
          <w:rtl w:val="0"/>
        </w:rPr>
      </w:r>
    </w:p>
    <w:p w:rsidR="00000000" w:rsidDel="00000000" w:rsidP="00000000" w:rsidRDefault="00000000" w:rsidRPr="00000000" w14:paraId="00000002">
      <w:pPr>
        <w:spacing w:after="240" w:before="240" w:line="360" w:lineRule="auto"/>
        <w:rPr>
          <w:rFonts w:ascii="Roboto" w:cs="Roboto" w:eastAsia="Roboto" w:hAnsi="Roboto"/>
          <w:color w:val="404040"/>
          <w:sz w:val="24"/>
          <w:szCs w:val="24"/>
        </w:rPr>
      </w:pPr>
      <w:r w:rsidDel="00000000" w:rsidR="00000000" w:rsidRPr="00000000">
        <w:rPr>
          <w:rFonts w:ascii="Roboto" w:cs="Roboto" w:eastAsia="Roboto" w:hAnsi="Roboto"/>
          <w:color w:val="404040"/>
          <w:sz w:val="24"/>
          <w:szCs w:val="24"/>
          <w:rtl w:val="0"/>
        </w:rPr>
        <w:t xml:space="preserve">CoinEx, “CET Özel Etkinliği”ni başlattığını duyurmaktan heyecan duyuyor:</w:t>
      </w:r>
      <w:r w:rsidDel="00000000" w:rsidR="00000000" w:rsidRPr="00000000">
        <w:rPr>
          <w:color w:val="404040"/>
          <w:sz w:val="24"/>
          <w:szCs w:val="24"/>
          <w:highlight w:val="white"/>
          <w:rtl w:val="0"/>
        </w:rPr>
        <w:t xml:space="preserve"> “İşlem Hacmi Yarışmasına Katılın, 300.000 CET Paylaşın</w:t>
      </w:r>
      <w:r w:rsidDel="00000000" w:rsidR="00000000" w:rsidRPr="00000000">
        <w:rPr>
          <w:rFonts w:ascii="Roboto" w:cs="Roboto" w:eastAsia="Roboto" w:hAnsi="Roboto"/>
          <w:color w:val="404040"/>
          <w:sz w:val="24"/>
          <w:szCs w:val="24"/>
          <w:rtl w:val="0"/>
        </w:rPr>
        <w:t xml:space="preserve">”. 27 Şubat - 6 Mart 2025 tarihleri arasında CoinEx kullanıcıları heyecan verici bir işlem yarışmasına katılma ve 300.000 CET token'den oluşan devasa bir ödül havuzundan pay alma fırsatını yakalayacak.</w:t>
      </w:r>
    </w:p>
    <w:p w:rsidR="00000000" w:rsidDel="00000000" w:rsidP="00000000" w:rsidRDefault="00000000" w:rsidRPr="00000000" w14:paraId="00000003">
      <w:pPr>
        <w:spacing w:line="360" w:lineRule="auto"/>
        <w:rPr>
          <w:sz w:val="24"/>
          <w:szCs w:val="24"/>
        </w:rPr>
      </w:pPr>
      <w:r w:rsidDel="00000000" w:rsidR="00000000" w:rsidRPr="00000000">
        <w:rPr>
          <w:sz w:val="24"/>
          <w:szCs w:val="24"/>
        </w:rPr>
        <w:drawing>
          <wp:inline distB="114300" distT="114300" distL="114300" distR="114300">
            <wp:extent cx="5731200" cy="28067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28067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40" w:before="240" w:line="360" w:lineRule="auto"/>
        <w:rPr>
          <w:rFonts w:ascii="Roboto" w:cs="Roboto" w:eastAsia="Roboto" w:hAnsi="Roboto"/>
          <w:color w:val="404040"/>
          <w:sz w:val="24"/>
          <w:szCs w:val="24"/>
        </w:rPr>
      </w:pPr>
      <w:r w:rsidDel="00000000" w:rsidR="00000000" w:rsidRPr="00000000">
        <w:rPr>
          <w:rFonts w:ascii="Roboto" w:cs="Roboto" w:eastAsia="Roboto" w:hAnsi="Roboto"/>
          <w:color w:val="404040"/>
          <w:sz w:val="24"/>
          <w:szCs w:val="24"/>
          <w:rtl w:val="0"/>
        </w:rPr>
        <w:t xml:space="preserve">Bu etkinlik, sadık CoinEx kullanıcıları ödüllendirmek ve platformda aktif alım satımları teşvik etmek için tasarlanmıştır. İster deneyimli bir yatırımcı olun ister kripto yolculuğunuza yeni başlıyor olun, bu CET işlemi yaparken heyecan verici ödüller kazanabilirsiniz.</w:t>
      </w:r>
    </w:p>
    <w:p w:rsidR="00000000" w:rsidDel="00000000" w:rsidP="00000000" w:rsidRDefault="00000000" w:rsidRPr="00000000" w14:paraId="00000005">
      <w:pPr>
        <w:pStyle w:val="Heading2"/>
        <w:keepNext w:val="0"/>
        <w:keepLines w:val="0"/>
        <w:spacing w:after="80" w:line="360" w:lineRule="auto"/>
        <w:rPr>
          <w:rFonts w:ascii="Roboto" w:cs="Roboto" w:eastAsia="Roboto" w:hAnsi="Roboto"/>
          <w:b w:val="1"/>
          <w:color w:val="404040"/>
          <w:sz w:val="34"/>
          <w:szCs w:val="34"/>
        </w:rPr>
      </w:pPr>
      <w:bookmarkStart w:colFirst="0" w:colLast="0" w:name="_t2xb6qod3xcu" w:id="1"/>
      <w:bookmarkEnd w:id="1"/>
      <w:r w:rsidDel="00000000" w:rsidR="00000000" w:rsidRPr="00000000">
        <w:rPr>
          <w:rFonts w:ascii="Roboto" w:cs="Roboto" w:eastAsia="Roboto" w:hAnsi="Roboto"/>
          <w:b w:val="1"/>
          <w:color w:val="404040"/>
          <w:sz w:val="34"/>
          <w:szCs w:val="34"/>
          <w:rtl w:val="0"/>
        </w:rPr>
        <w:t xml:space="preserve">Etkinliğin Özeti</w:t>
      </w:r>
    </w:p>
    <w:p w:rsidR="00000000" w:rsidDel="00000000" w:rsidP="00000000" w:rsidRDefault="00000000" w:rsidRPr="00000000" w14:paraId="00000006">
      <w:pPr>
        <w:numPr>
          <w:ilvl w:val="0"/>
          <w:numId w:val="1"/>
        </w:numPr>
        <w:shd w:fill="ffffff" w:val="clear"/>
        <w:spacing w:after="0" w:afterAutospacing="0" w:before="240" w:line="360" w:lineRule="auto"/>
        <w:ind w:left="720" w:hanging="360"/>
        <w:rPr>
          <w:rFonts w:ascii="Roboto" w:cs="Roboto" w:eastAsia="Roboto" w:hAnsi="Roboto"/>
          <w:color w:val="404040"/>
          <w:sz w:val="24"/>
          <w:szCs w:val="24"/>
        </w:rPr>
      </w:pPr>
      <w:r w:rsidDel="00000000" w:rsidR="00000000" w:rsidRPr="00000000">
        <w:rPr>
          <w:b w:val="1"/>
          <w:color w:val="404040"/>
          <w:sz w:val="24"/>
          <w:szCs w:val="24"/>
          <w:rtl w:val="0"/>
        </w:rPr>
        <w:t xml:space="preserve">1. Tarih: </w:t>
      </w:r>
      <w:r w:rsidDel="00000000" w:rsidR="00000000" w:rsidRPr="00000000">
        <w:rPr>
          <w:color w:val="404040"/>
          <w:sz w:val="24"/>
          <w:szCs w:val="24"/>
          <w:rtl w:val="0"/>
        </w:rPr>
        <w:t xml:space="preserve">13:00, 27 Şubat - 13:00, 6 Mart 2025 (TSİ)</w:t>
      </w:r>
    </w:p>
    <w:p w:rsidR="00000000" w:rsidDel="00000000" w:rsidP="00000000" w:rsidRDefault="00000000" w:rsidRPr="00000000" w14:paraId="00000007">
      <w:pPr>
        <w:numPr>
          <w:ilvl w:val="0"/>
          <w:numId w:val="1"/>
        </w:numPr>
        <w:shd w:fill="ffffff" w:val="clear"/>
        <w:spacing w:after="0" w:afterAutospacing="0" w:before="0" w:beforeAutospacing="0" w:line="360" w:lineRule="auto"/>
        <w:ind w:left="720" w:hanging="360"/>
        <w:rPr>
          <w:rFonts w:ascii="Roboto" w:cs="Roboto" w:eastAsia="Roboto" w:hAnsi="Roboto"/>
          <w:color w:val="404040"/>
          <w:sz w:val="24"/>
          <w:szCs w:val="24"/>
        </w:rPr>
      </w:pPr>
      <w:r w:rsidDel="00000000" w:rsidR="00000000" w:rsidRPr="00000000">
        <w:rPr>
          <w:b w:val="1"/>
          <w:color w:val="404040"/>
          <w:sz w:val="24"/>
          <w:szCs w:val="24"/>
          <w:rtl w:val="0"/>
        </w:rPr>
        <w:t xml:space="preserve">2. Seçili coin:  </w:t>
      </w:r>
      <w:r w:rsidDel="00000000" w:rsidR="00000000" w:rsidRPr="00000000">
        <w:rPr>
          <w:color w:val="404040"/>
          <w:sz w:val="24"/>
          <w:szCs w:val="24"/>
          <w:rtl w:val="0"/>
        </w:rPr>
        <w:t xml:space="preserve">CET</w:t>
      </w:r>
    </w:p>
    <w:p w:rsidR="00000000" w:rsidDel="00000000" w:rsidP="00000000" w:rsidRDefault="00000000" w:rsidRPr="00000000" w14:paraId="00000008">
      <w:pPr>
        <w:numPr>
          <w:ilvl w:val="0"/>
          <w:numId w:val="1"/>
        </w:numPr>
        <w:shd w:fill="ffffff" w:val="clear"/>
        <w:spacing w:after="240" w:before="0" w:beforeAutospacing="0" w:line="360" w:lineRule="auto"/>
        <w:ind w:left="720" w:hanging="360"/>
        <w:rPr>
          <w:rFonts w:ascii="Roboto" w:cs="Roboto" w:eastAsia="Roboto" w:hAnsi="Roboto"/>
          <w:color w:val="404040"/>
          <w:sz w:val="24"/>
          <w:szCs w:val="24"/>
        </w:rPr>
      </w:pPr>
      <w:r w:rsidDel="00000000" w:rsidR="00000000" w:rsidRPr="00000000">
        <w:rPr>
          <w:b w:val="1"/>
          <w:color w:val="404040"/>
          <w:sz w:val="24"/>
          <w:szCs w:val="24"/>
          <w:rtl w:val="0"/>
        </w:rPr>
        <w:t xml:space="preserve">3. Katılım Şartı: </w:t>
      </w:r>
      <w:r w:rsidDel="00000000" w:rsidR="00000000" w:rsidRPr="00000000">
        <w:rPr>
          <w:color w:val="404040"/>
          <w:sz w:val="24"/>
          <w:szCs w:val="24"/>
          <w:rtl w:val="0"/>
        </w:rPr>
        <w:t xml:space="preserve">Etkinlik sayfasından başvuru yapan tüm CoinEx kullanıcıları (Piyasa Yapıcılar Hariç)</w:t>
      </w:r>
      <w:r w:rsidDel="00000000" w:rsidR="00000000" w:rsidRPr="00000000">
        <w:rPr>
          <w:rtl w:val="0"/>
        </w:rPr>
      </w:r>
    </w:p>
    <w:p w:rsidR="00000000" w:rsidDel="00000000" w:rsidP="00000000" w:rsidRDefault="00000000" w:rsidRPr="00000000" w14:paraId="00000009">
      <w:pPr>
        <w:spacing w:after="240" w:before="240" w:line="360" w:lineRule="auto"/>
        <w:rPr>
          <w:rFonts w:ascii="Roboto" w:cs="Roboto" w:eastAsia="Roboto" w:hAnsi="Roboto"/>
          <w:color w:val="404040"/>
          <w:sz w:val="24"/>
          <w:szCs w:val="24"/>
        </w:rPr>
      </w:pPr>
      <w:r w:rsidDel="00000000" w:rsidR="00000000" w:rsidRPr="00000000">
        <w:rPr>
          <w:color w:val="404040"/>
          <w:sz w:val="24"/>
          <w:szCs w:val="24"/>
          <w:highlight w:val="white"/>
          <w:rtl w:val="0"/>
        </w:rPr>
        <w:t xml:space="preserve">Etkinlik süresince, seçili piyasalarda en az 50 USD'lik işlem hacmine ulaşan kullanıcılar sıralamaya girebilir ve ödülden pay alabilir. </w:t>
      </w:r>
      <w:r w:rsidDel="00000000" w:rsidR="00000000" w:rsidRPr="00000000">
        <w:rPr>
          <w:rFonts w:ascii="Roboto" w:cs="Roboto" w:eastAsia="Roboto" w:hAnsi="Roboto"/>
          <w:color w:val="404040"/>
          <w:sz w:val="24"/>
          <w:szCs w:val="24"/>
          <w:rtl w:val="0"/>
        </w:rPr>
        <w:t xml:space="preserve"> İşlem hacminiz ne kadar yüksek olursa, </w:t>
      </w:r>
      <w:r w:rsidDel="00000000" w:rsidR="00000000" w:rsidRPr="00000000">
        <w:rPr>
          <w:rFonts w:ascii="Roboto" w:cs="Roboto" w:eastAsia="Roboto" w:hAnsi="Roboto"/>
          <w:b w:val="1"/>
          <w:color w:val="404040"/>
          <w:sz w:val="24"/>
          <w:szCs w:val="24"/>
          <w:rtl w:val="0"/>
        </w:rPr>
        <w:t xml:space="preserve">300.000 CET’lik ödül havuzundaki</w:t>
      </w:r>
      <w:r w:rsidDel="00000000" w:rsidR="00000000" w:rsidRPr="00000000">
        <w:rPr>
          <w:rFonts w:ascii="Roboto" w:cs="Roboto" w:eastAsia="Roboto" w:hAnsi="Roboto"/>
          <w:color w:val="404040"/>
          <w:sz w:val="24"/>
          <w:szCs w:val="24"/>
          <w:rtl w:val="0"/>
        </w:rPr>
        <w:t xml:space="preserve"> payınız da o kadar büyük olur!</w:t>
      </w:r>
    </w:p>
    <w:p w:rsidR="00000000" w:rsidDel="00000000" w:rsidP="00000000" w:rsidRDefault="00000000" w:rsidRPr="00000000" w14:paraId="0000000A">
      <w:pPr>
        <w:pStyle w:val="Heading2"/>
        <w:keepNext w:val="0"/>
        <w:keepLines w:val="0"/>
        <w:spacing w:after="80" w:line="360" w:lineRule="auto"/>
        <w:rPr>
          <w:rFonts w:ascii="Roboto" w:cs="Roboto" w:eastAsia="Roboto" w:hAnsi="Roboto"/>
          <w:b w:val="1"/>
          <w:color w:val="404040"/>
          <w:sz w:val="34"/>
          <w:szCs w:val="34"/>
        </w:rPr>
      </w:pPr>
      <w:bookmarkStart w:colFirst="0" w:colLast="0" w:name="_cu3vc9k9en6r" w:id="2"/>
      <w:bookmarkEnd w:id="2"/>
      <w:r w:rsidDel="00000000" w:rsidR="00000000" w:rsidRPr="00000000">
        <w:rPr>
          <w:rFonts w:ascii="Roboto" w:cs="Roboto" w:eastAsia="Roboto" w:hAnsi="Roboto"/>
          <w:b w:val="1"/>
          <w:color w:val="404040"/>
          <w:sz w:val="34"/>
          <w:szCs w:val="34"/>
          <w:rtl w:val="0"/>
        </w:rPr>
        <w:t xml:space="preserve">Ödül Dağılımı</w:t>
      </w:r>
    </w:p>
    <w:p w:rsidR="00000000" w:rsidDel="00000000" w:rsidP="00000000" w:rsidRDefault="00000000" w:rsidRPr="00000000" w14:paraId="0000000B">
      <w:pPr>
        <w:spacing w:after="240" w:before="240" w:line="360" w:lineRule="auto"/>
        <w:rPr>
          <w:sz w:val="24"/>
          <w:szCs w:val="24"/>
        </w:rPr>
      </w:pPr>
      <w:r w:rsidDel="00000000" w:rsidR="00000000" w:rsidRPr="00000000">
        <w:rPr>
          <w:rFonts w:ascii="Roboto" w:cs="Roboto" w:eastAsia="Roboto" w:hAnsi="Roboto"/>
          <w:color w:val="404040"/>
          <w:sz w:val="24"/>
          <w:szCs w:val="24"/>
          <w:rtl w:val="0"/>
        </w:rPr>
        <w:t xml:space="preserve">Ödüller, işlem hacmi lider tablosundaki sıralamanıza göre dağıtılacaktır. Ödüllerin nasıl dağıtılacağı aşağıda açıklanmıştır:</w:t>
      </w:r>
      <w:r w:rsidDel="00000000" w:rsidR="00000000" w:rsidRPr="00000000">
        <w:rPr>
          <w:rtl w:val="0"/>
        </w:rPr>
      </w:r>
    </w:p>
    <w:tbl>
      <w:tblPr>
        <w:tblStyle w:val="Table1"/>
        <w:tblW w:w="9025.511811023624"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008.5039370078744"/>
        <w:gridCol w:w="3008.5039370078744"/>
        <w:gridCol w:w="3008.5039370078744"/>
        <w:tblGridChange w:id="0">
          <w:tblGrid>
            <w:gridCol w:w="3008.5039370078744"/>
            <w:gridCol w:w="3008.5039370078744"/>
            <w:gridCol w:w="3008.5039370078744"/>
          </w:tblGrid>
        </w:tblGridChange>
      </w:tblGrid>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180.0" w:type="dxa"/>
              <w:left w:w="180.0" w:type="dxa"/>
              <w:bottom w:w="180.0" w:type="dxa"/>
              <w:right w:w="180.0" w:type="dxa"/>
            </w:tcMar>
            <w:vAlign w:val="top"/>
          </w:tcPr>
          <w:p w:rsidR="00000000" w:rsidDel="00000000" w:rsidP="00000000" w:rsidRDefault="00000000" w:rsidRPr="00000000" w14:paraId="0000000C">
            <w:pPr>
              <w:spacing w:line="240" w:lineRule="auto"/>
              <w:rPr>
                <w:sz w:val="24"/>
                <w:szCs w:val="24"/>
              </w:rPr>
            </w:pPr>
            <w:r w:rsidDel="00000000" w:rsidR="00000000" w:rsidRPr="00000000">
              <w:rPr>
                <w:sz w:val="24"/>
                <w:szCs w:val="24"/>
                <w:rtl w:val="0"/>
              </w:rPr>
              <w:t xml:space="preserve">Sıralama</w:t>
            </w:r>
          </w:p>
        </w:tc>
        <w:tc>
          <w:tcPr>
            <w:tcBorders>
              <w:top w:color="000000" w:space="0" w:sz="6" w:val="single"/>
              <w:left w:color="000000" w:space="0" w:sz="6" w:val="single"/>
              <w:bottom w:color="000000" w:space="0" w:sz="6" w:val="single"/>
              <w:right w:color="000000" w:space="0" w:sz="6" w:val="single"/>
            </w:tcBorders>
            <w:tcMar>
              <w:top w:w="180.0" w:type="dxa"/>
              <w:left w:w="180.0" w:type="dxa"/>
              <w:bottom w:w="180.0" w:type="dxa"/>
              <w:right w:w="180.0" w:type="dxa"/>
            </w:tcMar>
            <w:vAlign w:val="top"/>
          </w:tcPr>
          <w:p w:rsidR="00000000" w:rsidDel="00000000" w:rsidP="00000000" w:rsidRDefault="00000000" w:rsidRPr="00000000" w14:paraId="0000000D">
            <w:pPr>
              <w:spacing w:line="240" w:lineRule="auto"/>
              <w:rPr>
                <w:sz w:val="24"/>
                <w:szCs w:val="24"/>
              </w:rPr>
            </w:pPr>
            <w:r w:rsidDel="00000000" w:rsidR="00000000" w:rsidRPr="00000000">
              <w:rPr>
                <w:sz w:val="24"/>
                <w:szCs w:val="24"/>
                <w:rtl w:val="0"/>
              </w:rPr>
              <w:t xml:space="preserve">Kişi başına ödül (CET)</w:t>
            </w:r>
          </w:p>
        </w:tc>
        <w:tc>
          <w:tcPr>
            <w:tcBorders>
              <w:top w:color="000000" w:space="0" w:sz="6" w:val="single"/>
              <w:left w:color="000000" w:space="0" w:sz="6" w:val="single"/>
              <w:bottom w:color="000000" w:space="0" w:sz="6" w:val="single"/>
              <w:right w:color="000000" w:space="0" w:sz="6" w:val="single"/>
            </w:tcBorders>
            <w:tcMar>
              <w:top w:w="180.0" w:type="dxa"/>
              <w:left w:w="180.0" w:type="dxa"/>
              <w:bottom w:w="180.0" w:type="dxa"/>
              <w:right w:w="180.0" w:type="dxa"/>
            </w:tcMar>
            <w:vAlign w:val="top"/>
          </w:tcPr>
          <w:p w:rsidR="00000000" w:rsidDel="00000000" w:rsidP="00000000" w:rsidRDefault="00000000" w:rsidRPr="00000000" w14:paraId="0000000E">
            <w:pPr>
              <w:spacing w:line="240" w:lineRule="auto"/>
              <w:rPr>
                <w:sz w:val="24"/>
                <w:szCs w:val="24"/>
              </w:rPr>
            </w:pPr>
            <w:r w:rsidDel="00000000" w:rsidR="00000000" w:rsidRPr="00000000">
              <w:rPr>
                <w:sz w:val="24"/>
                <w:szCs w:val="24"/>
                <w:rtl w:val="0"/>
              </w:rPr>
              <w:t xml:space="preserve">Toplam ödül (CET)</w:t>
            </w:r>
          </w:p>
        </w:tc>
      </w:tr>
      <w:tr>
        <w:trPr>
          <w:cantSplit w:val="0"/>
          <w:trHeight w:val="720" w:hRule="atLeast"/>
          <w:tblHeader w:val="0"/>
        </w:trPr>
        <w:tc>
          <w:tcPr>
            <w:tcBorders>
              <w:top w:color="000000" w:space="0" w:sz="6" w:val="single"/>
              <w:left w:color="000000" w:space="0" w:sz="6" w:val="single"/>
              <w:bottom w:color="000000" w:space="0" w:sz="6" w:val="single"/>
              <w:right w:color="000000" w:space="0" w:sz="6" w:val="single"/>
            </w:tcBorders>
            <w:tcMar>
              <w:top w:w="180.0" w:type="dxa"/>
              <w:left w:w="180.0" w:type="dxa"/>
              <w:bottom w:w="180.0" w:type="dxa"/>
              <w:right w:w="180.0" w:type="dxa"/>
            </w:tcMar>
            <w:vAlign w:val="center"/>
          </w:tcPr>
          <w:p w:rsidR="00000000" w:rsidDel="00000000" w:rsidP="00000000" w:rsidRDefault="00000000" w:rsidRPr="00000000" w14:paraId="0000000F">
            <w:pPr>
              <w:spacing w:line="240" w:lineRule="auto"/>
              <w:rPr>
                <w:sz w:val="24"/>
                <w:szCs w:val="24"/>
              </w:rPr>
            </w:pPr>
            <w:r w:rsidDel="00000000" w:rsidR="00000000" w:rsidRPr="00000000">
              <w:rPr>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180.0" w:type="dxa"/>
              <w:left w:w="180.0" w:type="dxa"/>
              <w:bottom w:w="180.0" w:type="dxa"/>
              <w:right w:w="180.0" w:type="dxa"/>
            </w:tcMar>
            <w:vAlign w:val="top"/>
          </w:tcPr>
          <w:p w:rsidR="00000000" w:rsidDel="00000000" w:rsidP="00000000" w:rsidRDefault="00000000" w:rsidRPr="00000000" w14:paraId="00000010">
            <w:pPr>
              <w:spacing w:line="240" w:lineRule="auto"/>
              <w:rPr>
                <w:sz w:val="24"/>
                <w:szCs w:val="24"/>
              </w:rPr>
            </w:pPr>
            <w:r w:rsidDel="00000000" w:rsidR="00000000" w:rsidRPr="00000000">
              <w:rPr>
                <w:sz w:val="24"/>
                <w:szCs w:val="24"/>
                <w:rtl w:val="0"/>
              </w:rPr>
              <w:t xml:space="preserve">8,000</w:t>
            </w:r>
          </w:p>
        </w:tc>
        <w:tc>
          <w:tcPr>
            <w:tcBorders>
              <w:top w:color="000000" w:space="0" w:sz="6" w:val="single"/>
              <w:left w:color="000000" w:space="0" w:sz="6" w:val="single"/>
              <w:bottom w:color="000000" w:space="0" w:sz="6" w:val="single"/>
              <w:right w:color="000000" w:space="0" w:sz="6" w:val="single"/>
            </w:tcBorders>
            <w:tcMar>
              <w:top w:w="180.0" w:type="dxa"/>
              <w:left w:w="180.0" w:type="dxa"/>
              <w:bottom w:w="180.0" w:type="dxa"/>
              <w:right w:w="180.0" w:type="dxa"/>
            </w:tcMar>
            <w:vAlign w:val="top"/>
          </w:tcPr>
          <w:p w:rsidR="00000000" w:rsidDel="00000000" w:rsidP="00000000" w:rsidRDefault="00000000" w:rsidRPr="00000000" w14:paraId="00000011">
            <w:pPr>
              <w:spacing w:line="240" w:lineRule="auto"/>
              <w:rPr>
                <w:sz w:val="24"/>
                <w:szCs w:val="24"/>
              </w:rPr>
            </w:pPr>
            <w:r w:rsidDel="00000000" w:rsidR="00000000" w:rsidRPr="00000000">
              <w:rPr>
                <w:sz w:val="24"/>
                <w:szCs w:val="24"/>
                <w:rtl w:val="0"/>
              </w:rPr>
              <w:t xml:space="preserve">8,000</w:t>
            </w:r>
          </w:p>
        </w:tc>
      </w:tr>
      <w:tr>
        <w:trPr>
          <w:cantSplit w:val="0"/>
          <w:trHeight w:val="720" w:hRule="atLeast"/>
          <w:tblHeader w:val="0"/>
        </w:trPr>
        <w:tc>
          <w:tcPr>
            <w:tcBorders>
              <w:top w:color="000000" w:space="0" w:sz="6" w:val="single"/>
              <w:left w:color="000000" w:space="0" w:sz="6" w:val="single"/>
              <w:bottom w:color="000000" w:space="0" w:sz="6" w:val="single"/>
              <w:right w:color="000000" w:space="0" w:sz="6" w:val="single"/>
            </w:tcBorders>
            <w:tcMar>
              <w:top w:w="180.0" w:type="dxa"/>
              <w:left w:w="180.0" w:type="dxa"/>
              <w:bottom w:w="180.0" w:type="dxa"/>
              <w:right w:w="180.0" w:type="dxa"/>
            </w:tcMar>
            <w:vAlign w:val="center"/>
          </w:tcPr>
          <w:p w:rsidR="00000000" w:rsidDel="00000000" w:rsidP="00000000" w:rsidRDefault="00000000" w:rsidRPr="00000000" w14:paraId="00000012">
            <w:pPr>
              <w:spacing w:line="240" w:lineRule="auto"/>
              <w:rPr>
                <w:sz w:val="24"/>
                <w:szCs w:val="24"/>
              </w:rPr>
            </w:pPr>
            <w:r w:rsidDel="00000000" w:rsidR="00000000" w:rsidRPr="00000000">
              <w:rPr>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tcMar>
              <w:top w:w="180.0" w:type="dxa"/>
              <w:left w:w="180.0" w:type="dxa"/>
              <w:bottom w:w="180.0" w:type="dxa"/>
              <w:right w:w="180.0" w:type="dxa"/>
            </w:tcMar>
            <w:vAlign w:val="top"/>
          </w:tcPr>
          <w:p w:rsidR="00000000" w:rsidDel="00000000" w:rsidP="00000000" w:rsidRDefault="00000000" w:rsidRPr="00000000" w14:paraId="00000013">
            <w:pPr>
              <w:spacing w:line="240" w:lineRule="auto"/>
              <w:rPr>
                <w:sz w:val="24"/>
                <w:szCs w:val="24"/>
              </w:rPr>
            </w:pPr>
            <w:r w:rsidDel="00000000" w:rsidR="00000000" w:rsidRPr="00000000">
              <w:rPr>
                <w:sz w:val="24"/>
                <w:szCs w:val="24"/>
                <w:rtl w:val="0"/>
              </w:rPr>
              <w:t xml:space="preserve">5,000</w:t>
            </w:r>
          </w:p>
        </w:tc>
        <w:tc>
          <w:tcPr>
            <w:tcBorders>
              <w:top w:color="000000" w:space="0" w:sz="6" w:val="single"/>
              <w:left w:color="000000" w:space="0" w:sz="6" w:val="single"/>
              <w:bottom w:color="000000" w:space="0" w:sz="6" w:val="single"/>
              <w:right w:color="000000" w:space="0" w:sz="6" w:val="single"/>
            </w:tcBorders>
            <w:tcMar>
              <w:top w:w="180.0" w:type="dxa"/>
              <w:left w:w="180.0" w:type="dxa"/>
              <w:bottom w:w="180.0" w:type="dxa"/>
              <w:right w:w="180.0" w:type="dxa"/>
            </w:tcMar>
            <w:vAlign w:val="top"/>
          </w:tcPr>
          <w:p w:rsidR="00000000" w:rsidDel="00000000" w:rsidP="00000000" w:rsidRDefault="00000000" w:rsidRPr="00000000" w14:paraId="00000014">
            <w:pPr>
              <w:spacing w:line="240" w:lineRule="auto"/>
              <w:rPr>
                <w:sz w:val="24"/>
                <w:szCs w:val="24"/>
              </w:rPr>
            </w:pPr>
            <w:r w:rsidDel="00000000" w:rsidR="00000000" w:rsidRPr="00000000">
              <w:rPr>
                <w:sz w:val="24"/>
                <w:szCs w:val="24"/>
                <w:rtl w:val="0"/>
              </w:rPr>
              <w:t xml:space="preserve">5,000</w:t>
            </w:r>
          </w:p>
        </w:tc>
      </w:tr>
      <w:tr>
        <w:trPr>
          <w:cantSplit w:val="0"/>
          <w:trHeight w:val="720" w:hRule="atLeast"/>
          <w:tblHeader w:val="0"/>
        </w:trPr>
        <w:tc>
          <w:tcPr>
            <w:tcBorders>
              <w:top w:color="000000" w:space="0" w:sz="6" w:val="single"/>
              <w:left w:color="000000" w:space="0" w:sz="6" w:val="single"/>
              <w:bottom w:color="000000" w:space="0" w:sz="6" w:val="single"/>
              <w:right w:color="000000" w:space="0" w:sz="6" w:val="single"/>
            </w:tcBorders>
            <w:tcMar>
              <w:top w:w="180.0" w:type="dxa"/>
              <w:left w:w="180.0" w:type="dxa"/>
              <w:bottom w:w="180.0" w:type="dxa"/>
              <w:right w:w="180.0" w:type="dxa"/>
            </w:tcMar>
            <w:vAlign w:val="center"/>
          </w:tcPr>
          <w:p w:rsidR="00000000" w:rsidDel="00000000" w:rsidP="00000000" w:rsidRDefault="00000000" w:rsidRPr="00000000" w14:paraId="00000015">
            <w:pPr>
              <w:spacing w:line="240" w:lineRule="auto"/>
              <w:rPr>
                <w:sz w:val="24"/>
                <w:szCs w:val="24"/>
              </w:rPr>
            </w:pPr>
            <w:r w:rsidDel="00000000" w:rsidR="00000000" w:rsidRPr="00000000">
              <w:rPr>
                <w:sz w:val="24"/>
                <w:szCs w:val="24"/>
                <w:rtl w:val="0"/>
              </w:rPr>
              <w:t xml:space="preserve">3-5</w:t>
            </w:r>
          </w:p>
        </w:tc>
        <w:tc>
          <w:tcPr>
            <w:tcBorders>
              <w:top w:color="000000" w:space="0" w:sz="6" w:val="single"/>
              <w:left w:color="000000" w:space="0" w:sz="6" w:val="single"/>
              <w:bottom w:color="000000" w:space="0" w:sz="6" w:val="single"/>
              <w:right w:color="000000" w:space="0" w:sz="6" w:val="single"/>
            </w:tcBorders>
            <w:tcMar>
              <w:top w:w="180.0" w:type="dxa"/>
              <w:left w:w="180.0" w:type="dxa"/>
              <w:bottom w:w="180.0" w:type="dxa"/>
              <w:right w:w="180.0" w:type="dxa"/>
            </w:tcMar>
            <w:vAlign w:val="top"/>
          </w:tcPr>
          <w:p w:rsidR="00000000" w:rsidDel="00000000" w:rsidP="00000000" w:rsidRDefault="00000000" w:rsidRPr="00000000" w14:paraId="00000016">
            <w:pPr>
              <w:spacing w:line="240" w:lineRule="auto"/>
              <w:rPr>
                <w:sz w:val="24"/>
                <w:szCs w:val="24"/>
              </w:rPr>
            </w:pPr>
            <w:r w:rsidDel="00000000" w:rsidR="00000000" w:rsidRPr="00000000">
              <w:rPr>
                <w:sz w:val="24"/>
                <w:szCs w:val="24"/>
                <w:rtl w:val="0"/>
              </w:rPr>
              <w:t xml:space="preserve">2,000</w:t>
            </w:r>
          </w:p>
        </w:tc>
        <w:tc>
          <w:tcPr>
            <w:tcBorders>
              <w:top w:color="000000" w:space="0" w:sz="6" w:val="single"/>
              <w:left w:color="000000" w:space="0" w:sz="6" w:val="single"/>
              <w:bottom w:color="000000" w:space="0" w:sz="6" w:val="single"/>
              <w:right w:color="000000" w:space="0" w:sz="6" w:val="single"/>
            </w:tcBorders>
            <w:tcMar>
              <w:top w:w="180.0" w:type="dxa"/>
              <w:left w:w="180.0" w:type="dxa"/>
              <w:bottom w:w="180.0" w:type="dxa"/>
              <w:right w:w="180.0" w:type="dxa"/>
            </w:tcMar>
            <w:vAlign w:val="top"/>
          </w:tcPr>
          <w:p w:rsidR="00000000" w:rsidDel="00000000" w:rsidP="00000000" w:rsidRDefault="00000000" w:rsidRPr="00000000" w14:paraId="00000017">
            <w:pPr>
              <w:spacing w:line="240" w:lineRule="auto"/>
              <w:rPr>
                <w:sz w:val="24"/>
                <w:szCs w:val="24"/>
              </w:rPr>
            </w:pPr>
            <w:r w:rsidDel="00000000" w:rsidR="00000000" w:rsidRPr="00000000">
              <w:rPr>
                <w:sz w:val="24"/>
                <w:szCs w:val="24"/>
                <w:rtl w:val="0"/>
              </w:rPr>
              <w:t xml:space="preserve">6,000</w:t>
            </w:r>
          </w:p>
        </w:tc>
      </w:tr>
      <w:tr>
        <w:trPr>
          <w:cantSplit w:val="0"/>
          <w:trHeight w:val="720" w:hRule="atLeast"/>
          <w:tblHeader w:val="0"/>
        </w:trPr>
        <w:tc>
          <w:tcPr>
            <w:tcBorders>
              <w:top w:color="000000" w:space="0" w:sz="6" w:val="single"/>
              <w:left w:color="000000" w:space="0" w:sz="6" w:val="single"/>
              <w:bottom w:color="000000" w:space="0" w:sz="6" w:val="single"/>
              <w:right w:color="000000" w:space="0" w:sz="6" w:val="single"/>
            </w:tcBorders>
            <w:tcMar>
              <w:top w:w="180.0" w:type="dxa"/>
              <w:left w:w="180.0" w:type="dxa"/>
              <w:bottom w:w="180.0" w:type="dxa"/>
              <w:right w:w="180.0" w:type="dxa"/>
            </w:tcMar>
            <w:vAlign w:val="top"/>
          </w:tcPr>
          <w:p w:rsidR="00000000" w:rsidDel="00000000" w:rsidP="00000000" w:rsidRDefault="00000000" w:rsidRPr="00000000" w14:paraId="00000018">
            <w:pPr>
              <w:spacing w:line="240" w:lineRule="auto"/>
              <w:rPr>
                <w:sz w:val="24"/>
                <w:szCs w:val="24"/>
              </w:rPr>
            </w:pPr>
            <w:r w:rsidDel="00000000" w:rsidR="00000000" w:rsidRPr="00000000">
              <w:rPr>
                <w:sz w:val="24"/>
                <w:szCs w:val="24"/>
                <w:rtl w:val="0"/>
              </w:rPr>
              <w:t xml:space="preserve">6-10</w:t>
            </w:r>
          </w:p>
        </w:tc>
        <w:tc>
          <w:tcPr>
            <w:tcBorders>
              <w:top w:color="000000" w:space="0" w:sz="6" w:val="single"/>
              <w:left w:color="000000" w:space="0" w:sz="6" w:val="single"/>
              <w:bottom w:color="000000" w:space="0" w:sz="6" w:val="single"/>
              <w:right w:color="000000" w:space="0" w:sz="6" w:val="single"/>
            </w:tcBorders>
            <w:tcMar>
              <w:top w:w="180.0" w:type="dxa"/>
              <w:left w:w="180.0" w:type="dxa"/>
              <w:bottom w:w="180.0" w:type="dxa"/>
              <w:right w:w="180.0" w:type="dxa"/>
            </w:tcMar>
            <w:vAlign w:val="top"/>
          </w:tcPr>
          <w:p w:rsidR="00000000" w:rsidDel="00000000" w:rsidP="00000000" w:rsidRDefault="00000000" w:rsidRPr="00000000" w14:paraId="00000019">
            <w:pPr>
              <w:spacing w:line="240" w:lineRule="auto"/>
              <w:rPr>
                <w:sz w:val="24"/>
                <w:szCs w:val="24"/>
              </w:rPr>
            </w:pPr>
            <w:r w:rsidDel="00000000" w:rsidR="00000000" w:rsidRPr="00000000">
              <w:rPr>
                <w:sz w:val="24"/>
                <w:szCs w:val="24"/>
                <w:rtl w:val="0"/>
              </w:rPr>
              <w:t xml:space="preserve">1,000</w:t>
            </w:r>
          </w:p>
        </w:tc>
        <w:tc>
          <w:tcPr>
            <w:tcBorders>
              <w:top w:color="000000" w:space="0" w:sz="6" w:val="single"/>
              <w:left w:color="000000" w:space="0" w:sz="6" w:val="single"/>
              <w:bottom w:color="000000" w:space="0" w:sz="6" w:val="single"/>
              <w:right w:color="000000" w:space="0" w:sz="6" w:val="single"/>
            </w:tcBorders>
            <w:tcMar>
              <w:top w:w="180.0" w:type="dxa"/>
              <w:left w:w="180.0" w:type="dxa"/>
              <w:bottom w:w="180.0" w:type="dxa"/>
              <w:right w:w="180.0" w:type="dxa"/>
            </w:tcMar>
            <w:vAlign w:val="top"/>
          </w:tcPr>
          <w:p w:rsidR="00000000" w:rsidDel="00000000" w:rsidP="00000000" w:rsidRDefault="00000000" w:rsidRPr="00000000" w14:paraId="0000001A">
            <w:pPr>
              <w:spacing w:line="240" w:lineRule="auto"/>
              <w:rPr>
                <w:sz w:val="24"/>
                <w:szCs w:val="24"/>
              </w:rPr>
            </w:pPr>
            <w:r w:rsidDel="00000000" w:rsidR="00000000" w:rsidRPr="00000000">
              <w:rPr>
                <w:sz w:val="24"/>
                <w:szCs w:val="24"/>
                <w:rtl w:val="0"/>
              </w:rPr>
              <w:t xml:space="preserve">5,000</w:t>
            </w:r>
          </w:p>
        </w:tc>
      </w:tr>
      <w:tr>
        <w:trPr>
          <w:cantSplit w:val="0"/>
          <w:trHeight w:val="720" w:hRule="atLeast"/>
          <w:tblHeader w:val="0"/>
        </w:trPr>
        <w:tc>
          <w:tcPr>
            <w:tcBorders>
              <w:top w:color="000000" w:space="0" w:sz="6" w:val="single"/>
              <w:left w:color="000000" w:space="0" w:sz="6" w:val="single"/>
              <w:bottom w:color="000000" w:space="0" w:sz="6" w:val="single"/>
              <w:right w:color="000000" w:space="0" w:sz="6" w:val="single"/>
            </w:tcBorders>
            <w:tcMar>
              <w:top w:w="180.0" w:type="dxa"/>
              <w:left w:w="180.0" w:type="dxa"/>
              <w:bottom w:w="180.0" w:type="dxa"/>
              <w:right w:w="180.0" w:type="dxa"/>
            </w:tcMar>
            <w:vAlign w:val="top"/>
          </w:tcPr>
          <w:p w:rsidR="00000000" w:rsidDel="00000000" w:rsidP="00000000" w:rsidRDefault="00000000" w:rsidRPr="00000000" w14:paraId="0000001B">
            <w:pPr>
              <w:spacing w:line="240" w:lineRule="auto"/>
              <w:rPr>
                <w:sz w:val="24"/>
                <w:szCs w:val="24"/>
              </w:rPr>
            </w:pPr>
            <w:r w:rsidDel="00000000" w:rsidR="00000000" w:rsidRPr="00000000">
              <w:rPr>
                <w:sz w:val="24"/>
                <w:szCs w:val="24"/>
                <w:rtl w:val="0"/>
              </w:rPr>
              <w:t xml:space="preserve">11-50</w:t>
            </w:r>
          </w:p>
        </w:tc>
        <w:tc>
          <w:tcPr>
            <w:tcBorders>
              <w:top w:color="000000" w:space="0" w:sz="6" w:val="single"/>
              <w:left w:color="000000" w:space="0" w:sz="6" w:val="single"/>
              <w:bottom w:color="000000" w:space="0" w:sz="6" w:val="single"/>
              <w:right w:color="000000" w:space="0" w:sz="6" w:val="single"/>
            </w:tcBorders>
            <w:tcMar>
              <w:top w:w="180.0" w:type="dxa"/>
              <w:left w:w="180.0" w:type="dxa"/>
              <w:bottom w:w="180.0" w:type="dxa"/>
              <w:right w:w="180.0" w:type="dxa"/>
            </w:tcMar>
            <w:vAlign w:val="top"/>
          </w:tcPr>
          <w:p w:rsidR="00000000" w:rsidDel="00000000" w:rsidP="00000000" w:rsidRDefault="00000000" w:rsidRPr="00000000" w14:paraId="0000001C">
            <w:pPr>
              <w:spacing w:line="240" w:lineRule="auto"/>
              <w:rPr>
                <w:sz w:val="24"/>
                <w:szCs w:val="24"/>
              </w:rPr>
            </w:pPr>
            <w:r w:rsidDel="00000000" w:rsidR="00000000" w:rsidRPr="00000000">
              <w:rPr>
                <w:sz w:val="24"/>
                <w:szCs w:val="24"/>
                <w:rtl w:val="0"/>
              </w:rPr>
              <w:t xml:space="preserve">800</w:t>
            </w:r>
          </w:p>
        </w:tc>
        <w:tc>
          <w:tcPr>
            <w:tcBorders>
              <w:top w:color="000000" w:space="0" w:sz="6" w:val="single"/>
              <w:left w:color="000000" w:space="0" w:sz="6" w:val="single"/>
              <w:bottom w:color="000000" w:space="0" w:sz="6" w:val="single"/>
              <w:right w:color="000000" w:space="0" w:sz="6" w:val="single"/>
            </w:tcBorders>
            <w:tcMar>
              <w:top w:w="180.0" w:type="dxa"/>
              <w:left w:w="180.0" w:type="dxa"/>
              <w:bottom w:w="180.0" w:type="dxa"/>
              <w:right w:w="180.0" w:type="dxa"/>
            </w:tcMar>
            <w:vAlign w:val="top"/>
          </w:tcPr>
          <w:p w:rsidR="00000000" w:rsidDel="00000000" w:rsidP="00000000" w:rsidRDefault="00000000" w:rsidRPr="00000000" w14:paraId="0000001D">
            <w:pPr>
              <w:spacing w:line="240" w:lineRule="auto"/>
              <w:rPr>
                <w:sz w:val="24"/>
                <w:szCs w:val="24"/>
              </w:rPr>
            </w:pPr>
            <w:r w:rsidDel="00000000" w:rsidR="00000000" w:rsidRPr="00000000">
              <w:rPr>
                <w:sz w:val="24"/>
                <w:szCs w:val="24"/>
                <w:rtl w:val="0"/>
              </w:rPr>
              <w:t xml:space="preserve">32,000</w:t>
            </w:r>
          </w:p>
        </w:tc>
      </w:tr>
      <w:tr>
        <w:trPr>
          <w:cantSplit w:val="0"/>
          <w:trHeight w:val="720" w:hRule="atLeast"/>
          <w:tblHeader w:val="0"/>
        </w:trPr>
        <w:tc>
          <w:tcPr>
            <w:tcBorders>
              <w:top w:color="000000" w:space="0" w:sz="6" w:val="single"/>
              <w:left w:color="000000" w:space="0" w:sz="6" w:val="single"/>
              <w:bottom w:color="000000" w:space="0" w:sz="6" w:val="single"/>
              <w:right w:color="000000" w:space="0" w:sz="6" w:val="single"/>
            </w:tcBorders>
            <w:tcMar>
              <w:top w:w="180.0" w:type="dxa"/>
              <w:left w:w="180.0" w:type="dxa"/>
              <w:bottom w:w="180.0" w:type="dxa"/>
              <w:right w:w="180.0" w:type="dxa"/>
            </w:tcMar>
            <w:vAlign w:val="top"/>
          </w:tcPr>
          <w:p w:rsidR="00000000" w:rsidDel="00000000" w:rsidP="00000000" w:rsidRDefault="00000000" w:rsidRPr="00000000" w14:paraId="0000001E">
            <w:pPr>
              <w:spacing w:line="240" w:lineRule="auto"/>
              <w:rPr>
                <w:sz w:val="24"/>
                <w:szCs w:val="24"/>
              </w:rPr>
            </w:pPr>
            <w:r w:rsidDel="00000000" w:rsidR="00000000" w:rsidRPr="00000000">
              <w:rPr>
                <w:sz w:val="24"/>
                <w:szCs w:val="24"/>
                <w:rtl w:val="0"/>
              </w:rPr>
              <w:t xml:space="preserve">51-100</w:t>
            </w:r>
          </w:p>
        </w:tc>
        <w:tc>
          <w:tcPr>
            <w:tcBorders>
              <w:top w:color="000000" w:space="0" w:sz="6" w:val="single"/>
              <w:left w:color="000000" w:space="0" w:sz="6" w:val="single"/>
              <w:bottom w:color="000000" w:space="0" w:sz="6" w:val="single"/>
              <w:right w:color="000000" w:space="0" w:sz="6" w:val="single"/>
            </w:tcBorders>
            <w:tcMar>
              <w:top w:w="180.0" w:type="dxa"/>
              <w:left w:w="180.0" w:type="dxa"/>
              <w:bottom w:w="180.0" w:type="dxa"/>
              <w:right w:w="180.0" w:type="dxa"/>
            </w:tcMar>
            <w:vAlign w:val="top"/>
          </w:tcPr>
          <w:p w:rsidR="00000000" w:rsidDel="00000000" w:rsidP="00000000" w:rsidRDefault="00000000" w:rsidRPr="00000000" w14:paraId="0000001F">
            <w:pPr>
              <w:spacing w:line="240" w:lineRule="auto"/>
              <w:rPr>
                <w:sz w:val="24"/>
                <w:szCs w:val="24"/>
              </w:rPr>
            </w:pPr>
            <w:r w:rsidDel="00000000" w:rsidR="00000000" w:rsidRPr="00000000">
              <w:rPr>
                <w:sz w:val="24"/>
                <w:szCs w:val="24"/>
                <w:rtl w:val="0"/>
              </w:rPr>
              <w:t xml:space="preserve">500</w:t>
            </w:r>
          </w:p>
        </w:tc>
        <w:tc>
          <w:tcPr>
            <w:tcBorders>
              <w:top w:color="000000" w:space="0" w:sz="6" w:val="single"/>
              <w:left w:color="000000" w:space="0" w:sz="6" w:val="single"/>
              <w:bottom w:color="000000" w:space="0" w:sz="6" w:val="single"/>
              <w:right w:color="000000" w:space="0" w:sz="6" w:val="single"/>
            </w:tcBorders>
            <w:tcMar>
              <w:top w:w="180.0" w:type="dxa"/>
              <w:left w:w="180.0" w:type="dxa"/>
              <w:bottom w:w="180.0" w:type="dxa"/>
              <w:right w:w="180.0" w:type="dxa"/>
            </w:tcMar>
            <w:vAlign w:val="top"/>
          </w:tcPr>
          <w:p w:rsidR="00000000" w:rsidDel="00000000" w:rsidP="00000000" w:rsidRDefault="00000000" w:rsidRPr="00000000" w14:paraId="00000020">
            <w:pPr>
              <w:spacing w:line="240" w:lineRule="auto"/>
              <w:rPr>
                <w:sz w:val="24"/>
                <w:szCs w:val="24"/>
              </w:rPr>
            </w:pPr>
            <w:r w:rsidDel="00000000" w:rsidR="00000000" w:rsidRPr="00000000">
              <w:rPr>
                <w:sz w:val="24"/>
                <w:szCs w:val="24"/>
                <w:rtl w:val="0"/>
              </w:rPr>
              <w:t xml:space="preserve">25,000</w:t>
            </w:r>
          </w:p>
        </w:tc>
      </w:tr>
      <w:tr>
        <w:trPr>
          <w:cantSplit w:val="0"/>
          <w:trHeight w:val="720" w:hRule="atLeast"/>
          <w:tblHeader w:val="0"/>
        </w:trPr>
        <w:tc>
          <w:tcPr>
            <w:tcBorders>
              <w:top w:color="000000" w:space="0" w:sz="6" w:val="single"/>
              <w:left w:color="000000" w:space="0" w:sz="6" w:val="single"/>
              <w:bottom w:color="000000" w:space="0" w:sz="6" w:val="single"/>
              <w:right w:color="000000" w:space="0" w:sz="6" w:val="single"/>
            </w:tcBorders>
            <w:tcMar>
              <w:top w:w="180.0" w:type="dxa"/>
              <w:left w:w="180.0" w:type="dxa"/>
              <w:bottom w:w="180.0" w:type="dxa"/>
              <w:right w:w="180.0" w:type="dxa"/>
            </w:tcMar>
            <w:vAlign w:val="top"/>
          </w:tcPr>
          <w:p w:rsidR="00000000" w:rsidDel="00000000" w:rsidP="00000000" w:rsidRDefault="00000000" w:rsidRPr="00000000" w14:paraId="00000021">
            <w:pPr>
              <w:spacing w:line="240" w:lineRule="auto"/>
              <w:rPr>
                <w:sz w:val="24"/>
                <w:szCs w:val="24"/>
              </w:rPr>
            </w:pPr>
            <w:r w:rsidDel="00000000" w:rsidR="00000000" w:rsidRPr="00000000">
              <w:rPr>
                <w:sz w:val="24"/>
                <w:szCs w:val="24"/>
                <w:rtl w:val="0"/>
              </w:rPr>
              <w:t xml:space="preserve">101-200</w:t>
            </w:r>
          </w:p>
        </w:tc>
        <w:tc>
          <w:tcPr>
            <w:tcBorders>
              <w:top w:color="000000" w:space="0" w:sz="6" w:val="single"/>
              <w:left w:color="000000" w:space="0" w:sz="6" w:val="single"/>
              <w:bottom w:color="000000" w:space="0" w:sz="6" w:val="single"/>
              <w:right w:color="000000" w:space="0" w:sz="6" w:val="single"/>
            </w:tcBorders>
            <w:tcMar>
              <w:top w:w="180.0" w:type="dxa"/>
              <w:left w:w="180.0" w:type="dxa"/>
              <w:bottom w:w="180.0" w:type="dxa"/>
              <w:right w:w="180.0" w:type="dxa"/>
            </w:tcMar>
            <w:vAlign w:val="top"/>
          </w:tcPr>
          <w:p w:rsidR="00000000" w:rsidDel="00000000" w:rsidP="00000000" w:rsidRDefault="00000000" w:rsidRPr="00000000" w14:paraId="00000022">
            <w:pPr>
              <w:spacing w:line="240" w:lineRule="auto"/>
              <w:rPr>
                <w:sz w:val="24"/>
                <w:szCs w:val="24"/>
              </w:rPr>
            </w:pPr>
            <w:r w:rsidDel="00000000" w:rsidR="00000000" w:rsidRPr="00000000">
              <w:rPr>
                <w:sz w:val="24"/>
                <w:szCs w:val="24"/>
                <w:rtl w:val="0"/>
              </w:rPr>
              <w:t xml:space="preserve">300</w:t>
            </w:r>
          </w:p>
        </w:tc>
        <w:tc>
          <w:tcPr>
            <w:tcBorders>
              <w:top w:color="000000" w:space="0" w:sz="6" w:val="single"/>
              <w:left w:color="000000" w:space="0" w:sz="6" w:val="single"/>
              <w:bottom w:color="000000" w:space="0" w:sz="6" w:val="single"/>
              <w:right w:color="000000" w:space="0" w:sz="6" w:val="single"/>
            </w:tcBorders>
            <w:tcMar>
              <w:top w:w="180.0" w:type="dxa"/>
              <w:left w:w="180.0" w:type="dxa"/>
              <w:bottom w:w="180.0" w:type="dxa"/>
              <w:right w:w="180.0" w:type="dxa"/>
            </w:tcMar>
            <w:vAlign w:val="top"/>
          </w:tcPr>
          <w:p w:rsidR="00000000" w:rsidDel="00000000" w:rsidP="00000000" w:rsidRDefault="00000000" w:rsidRPr="00000000" w14:paraId="00000023">
            <w:pPr>
              <w:spacing w:line="240" w:lineRule="auto"/>
              <w:rPr>
                <w:sz w:val="24"/>
                <w:szCs w:val="24"/>
              </w:rPr>
            </w:pPr>
            <w:r w:rsidDel="00000000" w:rsidR="00000000" w:rsidRPr="00000000">
              <w:rPr>
                <w:sz w:val="24"/>
                <w:szCs w:val="24"/>
                <w:rtl w:val="0"/>
              </w:rPr>
              <w:t xml:space="preserve">30,000</w:t>
            </w:r>
          </w:p>
        </w:tc>
      </w:tr>
      <w:tr>
        <w:trPr>
          <w:cantSplit w:val="0"/>
          <w:trHeight w:val="720" w:hRule="atLeast"/>
          <w:tblHeader w:val="0"/>
        </w:trPr>
        <w:tc>
          <w:tcPr>
            <w:tcBorders>
              <w:top w:color="000000" w:space="0" w:sz="6" w:val="single"/>
              <w:left w:color="000000" w:space="0" w:sz="6" w:val="single"/>
              <w:bottom w:color="000000" w:space="0" w:sz="6" w:val="single"/>
              <w:right w:color="000000" w:space="0" w:sz="6" w:val="single"/>
            </w:tcBorders>
            <w:tcMar>
              <w:top w:w="180.0" w:type="dxa"/>
              <w:left w:w="180.0" w:type="dxa"/>
              <w:bottom w:w="180.0" w:type="dxa"/>
              <w:right w:w="180.0" w:type="dxa"/>
            </w:tcMar>
            <w:vAlign w:val="top"/>
          </w:tcPr>
          <w:p w:rsidR="00000000" w:rsidDel="00000000" w:rsidP="00000000" w:rsidRDefault="00000000" w:rsidRPr="00000000" w14:paraId="00000024">
            <w:pPr>
              <w:spacing w:line="240" w:lineRule="auto"/>
              <w:rPr>
                <w:sz w:val="24"/>
                <w:szCs w:val="24"/>
              </w:rPr>
            </w:pPr>
            <w:r w:rsidDel="00000000" w:rsidR="00000000" w:rsidRPr="00000000">
              <w:rPr>
                <w:sz w:val="24"/>
                <w:szCs w:val="24"/>
                <w:rtl w:val="0"/>
              </w:rPr>
              <w:t xml:space="preserve">201-300</w:t>
            </w:r>
          </w:p>
        </w:tc>
        <w:tc>
          <w:tcPr>
            <w:tcBorders>
              <w:top w:color="000000" w:space="0" w:sz="6" w:val="single"/>
              <w:left w:color="000000" w:space="0" w:sz="6" w:val="single"/>
              <w:bottom w:color="000000" w:space="0" w:sz="6" w:val="single"/>
              <w:right w:color="000000" w:space="0" w:sz="6" w:val="single"/>
            </w:tcBorders>
            <w:tcMar>
              <w:top w:w="180.0" w:type="dxa"/>
              <w:left w:w="180.0" w:type="dxa"/>
              <w:bottom w:w="180.0" w:type="dxa"/>
              <w:right w:w="180.0" w:type="dxa"/>
            </w:tcMar>
            <w:vAlign w:val="top"/>
          </w:tcPr>
          <w:p w:rsidR="00000000" w:rsidDel="00000000" w:rsidP="00000000" w:rsidRDefault="00000000" w:rsidRPr="00000000" w14:paraId="00000025">
            <w:pPr>
              <w:spacing w:line="240" w:lineRule="auto"/>
              <w:rPr>
                <w:sz w:val="24"/>
                <w:szCs w:val="24"/>
              </w:rPr>
            </w:pPr>
            <w:r w:rsidDel="00000000" w:rsidR="00000000" w:rsidRPr="00000000">
              <w:rPr>
                <w:sz w:val="24"/>
                <w:szCs w:val="24"/>
                <w:rtl w:val="0"/>
              </w:rPr>
              <w:t xml:space="preserve">200</w:t>
            </w:r>
          </w:p>
        </w:tc>
        <w:tc>
          <w:tcPr>
            <w:tcBorders>
              <w:top w:color="000000" w:space="0" w:sz="6" w:val="single"/>
              <w:left w:color="000000" w:space="0" w:sz="6" w:val="single"/>
              <w:bottom w:color="000000" w:space="0" w:sz="6" w:val="single"/>
              <w:right w:color="000000" w:space="0" w:sz="6" w:val="single"/>
            </w:tcBorders>
            <w:tcMar>
              <w:top w:w="180.0" w:type="dxa"/>
              <w:left w:w="180.0" w:type="dxa"/>
              <w:bottom w:w="180.0" w:type="dxa"/>
              <w:right w:w="180.0" w:type="dxa"/>
            </w:tcMar>
            <w:vAlign w:val="top"/>
          </w:tcPr>
          <w:p w:rsidR="00000000" w:rsidDel="00000000" w:rsidP="00000000" w:rsidRDefault="00000000" w:rsidRPr="00000000" w14:paraId="00000026">
            <w:pPr>
              <w:spacing w:line="240" w:lineRule="auto"/>
              <w:rPr>
                <w:sz w:val="24"/>
                <w:szCs w:val="24"/>
              </w:rPr>
            </w:pPr>
            <w:r w:rsidDel="00000000" w:rsidR="00000000" w:rsidRPr="00000000">
              <w:rPr>
                <w:sz w:val="24"/>
                <w:szCs w:val="24"/>
                <w:rtl w:val="0"/>
              </w:rPr>
              <w:t xml:space="preserve">20,000</w:t>
            </w:r>
          </w:p>
        </w:tc>
      </w:tr>
      <w:tr>
        <w:trPr>
          <w:cantSplit w:val="0"/>
          <w:trHeight w:val="720" w:hRule="atLeast"/>
          <w:tblHeader w:val="0"/>
        </w:trPr>
        <w:tc>
          <w:tcPr>
            <w:tcBorders>
              <w:top w:color="000000" w:space="0" w:sz="6" w:val="single"/>
              <w:left w:color="000000" w:space="0" w:sz="6" w:val="single"/>
              <w:bottom w:color="000000" w:space="0" w:sz="6" w:val="single"/>
              <w:right w:color="000000" w:space="0" w:sz="6" w:val="single"/>
            </w:tcBorders>
            <w:tcMar>
              <w:top w:w="180.0" w:type="dxa"/>
              <w:left w:w="180.0" w:type="dxa"/>
              <w:bottom w:w="180.0" w:type="dxa"/>
              <w:right w:w="180.0" w:type="dxa"/>
            </w:tcMar>
            <w:vAlign w:val="top"/>
          </w:tcPr>
          <w:p w:rsidR="00000000" w:rsidDel="00000000" w:rsidP="00000000" w:rsidRDefault="00000000" w:rsidRPr="00000000" w14:paraId="00000027">
            <w:pPr>
              <w:spacing w:line="240" w:lineRule="auto"/>
              <w:rPr>
                <w:sz w:val="24"/>
                <w:szCs w:val="24"/>
              </w:rPr>
            </w:pPr>
            <w:r w:rsidDel="00000000" w:rsidR="00000000" w:rsidRPr="00000000">
              <w:rPr>
                <w:sz w:val="24"/>
                <w:szCs w:val="24"/>
                <w:rtl w:val="0"/>
              </w:rPr>
              <w:t xml:space="preserve">301-500</w:t>
            </w:r>
          </w:p>
        </w:tc>
        <w:tc>
          <w:tcPr>
            <w:tcBorders>
              <w:top w:color="000000" w:space="0" w:sz="6" w:val="single"/>
              <w:left w:color="000000" w:space="0" w:sz="6" w:val="single"/>
              <w:bottom w:color="000000" w:space="0" w:sz="6" w:val="single"/>
              <w:right w:color="000000" w:space="0" w:sz="6" w:val="single"/>
            </w:tcBorders>
            <w:tcMar>
              <w:top w:w="180.0" w:type="dxa"/>
              <w:left w:w="180.0" w:type="dxa"/>
              <w:bottom w:w="180.0" w:type="dxa"/>
              <w:right w:w="180.0" w:type="dxa"/>
            </w:tcMar>
            <w:vAlign w:val="top"/>
          </w:tcPr>
          <w:p w:rsidR="00000000" w:rsidDel="00000000" w:rsidP="00000000" w:rsidRDefault="00000000" w:rsidRPr="00000000" w14:paraId="00000028">
            <w:pPr>
              <w:spacing w:line="240" w:lineRule="auto"/>
              <w:rPr>
                <w:sz w:val="24"/>
                <w:szCs w:val="24"/>
              </w:rPr>
            </w:pPr>
            <w:r w:rsidDel="00000000" w:rsidR="00000000" w:rsidRPr="00000000">
              <w:rPr>
                <w:sz w:val="24"/>
                <w:szCs w:val="24"/>
                <w:rtl w:val="0"/>
              </w:rPr>
              <w:t xml:space="preserve">100</w:t>
            </w:r>
          </w:p>
        </w:tc>
        <w:tc>
          <w:tcPr>
            <w:tcBorders>
              <w:top w:color="000000" w:space="0" w:sz="6" w:val="single"/>
              <w:left w:color="000000" w:space="0" w:sz="6" w:val="single"/>
              <w:bottom w:color="000000" w:space="0" w:sz="6" w:val="single"/>
              <w:right w:color="000000" w:space="0" w:sz="6" w:val="single"/>
            </w:tcBorders>
            <w:tcMar>
              <w:top w:w="180.0" w:type="dxa"/>
              <w:left w:w="180.0" w:type="dxa"/>
              <w:bottom w:w="180.0" w:type="dxa"/>
              <w:right w:w="180.0" w:type="dxa"/>
            </w:tcMar>
            <w:vAlign w:val="top"/>
          </w:tcPr>
          <w:p w:rsidR="00000000" w:rsidDel="00000000" w:rsidP="00000000" w:rsidRDefault="00000000" w:rsidRPr="00000000" w14:paraId="00000029">
            <w:pPr>
              <w:spacing w:line="240" w:lineRule="auto"/>
              <w:rPr>
                <w:sz w:val="24"/>
                <w:szCs w:val="24"/>
              </w:rPr>
            </w:pPr>
            <w:r w:rsidDel="00000000" w:rsidR="00000000" w:rsidRPr="00000000">
              <w:rPr>
                <w:sz w:val="24"/>
                <w:szCs w:val="24"/>
                <w:rtl w:val="0"/>
              </w:rPr>
              <w:t xml:space="preserve">20,000</w:t>
            </w:r>
          </w:p>
        </w:tc>
      </w:tr>
      <w:tr>
        <w:trPr>
          <w:cantSplit w:val="0"/>
          <w:trHeight w:val="1050" w:hRule="atLeast"/>
          <w:tblHeader w:val="0"/>
        </w:trPr>
        <w:tc>
          <w:tcPr>
            <w:tcBorders>
              <w:top w:color="000000" w:space="0" w:sz="6" w:val="single"/>
              <w:left w:color="000000" w:space="0" w:sz="6" w:val="single"/>
              <w:bottom w:color="000000" w:space="0" w:sz="6" w:val="single"/>
              <w:right w:color="000000" w:space="0" w:sz="6" w:val="single"/>
            </w:tcBorders>
            <w:tcMar>
              <w:top w:w="180.0" w:type="dxa"/>
              <w:left w:w="180.0" w:type="dxa"/>
              <w:bottom w:w="180.0" w:type="dxa"/>
              <w:right w:w="180.0" w:type="dxa"/>
            </w:tcMar>
            <w:vAlign w:val="top"/>
          </w:tcPr>
          <w:p w:rsidR="00000000" w:rsidDel="00000000" w:rsidP="00000000" w:rsidRDefault="00000000" w:rsidRPr="00000000" w14:paraId="0000002A">
            <w:pPr>
              <w:spacing w:line="240" w:lineRule="auto"/>
              <w:rPr>
                <w:sz w:val="24"/>
                <w:szCs w:val="24"/>
              </w:rPr>
            </w:pPr>
            <w:r w:rsidDel="00000000" w:rsidR="00000000" w:rsidRPr="00000000">
              <w:rPr>
                <w:sz w:val="24"/>
                <w:szCs w:val="24"/>
                <w:highlight w:val="white"/>
                <w:rtl w:val="0"/>
              </w:rPr>
              <w:t xml:space="preserve">Şartı sağlayanlar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80.0" w:type="dxa"/>
              <w:left w:w="180.0" w:type="dxa"/>
              <w:bottom w:w="180.0" w:type="dxa"/>
              <w:right w:w="180.0" w:type="dxa"/>
            </w:tcMar>
            <w:vAlign w:val="top"/>
          </w:tcPr>
          <w:p w:rsidR="00000000" w:rsidDel="00000000" w:rsidP="00000000" w:rsidRDefault="00000000" w:rsidRPr="00000000" w14:paraId="0000002B">
            <w:pPr>
              <w:spacing w:line="240" w:lineRule="auto"/>
              <w:rPr>
                <w:sz w:val="24"/>
                <w:szCs w:val="24"/>
              </w:rPr>
            </w:pPr>
            <w:r w:rsidDel="00000000" w:rsidR="00000000" w:rsidRPr="00000000">
              <w:rPr>
                <w:sz w:val="24"/>
                <w:szCs w:val="24"/>
                <w:highlight w:val="white"/>
                <w:rtl w:val="0"/>
              </w:rPr>
              <w:t xml:space="preserve">Kalan ödülü işlem hacmine göre paylaşacaktır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80.0" w:type="dxa"/>
              <w:left w:w="180.0" w:type="dxa"/>
              <w:bottom w:w="180.0" w:type="dxa"/>
              <w:right w:w="180.0" w:type="dxa"/>
            </w:tcMar>
            <w:vAlign w:val="top"/>
          </w:tcPr>
          <w:p w:rsidR="00000000" w:rsidDel="00000000" w:rsidP="00000000" w:rsidRDefault="00000000" w:rsidRPr="00000000" w14:paraId="0000002C">
            <w:pPr>
              <w:spacing w:line="240" w:lineRule="auto"/>
              <w:rPr>
                <w:sz w:val="24"/>
                <w:szCs w:val="24"/>
              </w:rPr>
            </w:pPr>
            <w:r w:rsidDel="00000000" w:rsidR="00000000" w:rsidRPr="00000000">
              <w:rPr>
                <w:sz w:val="24"/>
                <w:szCs w:val="24"/>
                <w:rtl w:val="0"/>
              </w:rPr>
              <w:t xml:space="preserve">149,000 </w:t>
            </w:r>
          </w:p>
          <w:p w:rsidR="00000000" w:rsidDel="00000000" w:rsidP="00000000" w:rsidRDefault="00000000" w:rsidRPr="00000000" w14:paraId="0000002D">
            <w:pPr>
              <w:spacing w:line="240" w:lineRule="auto"/>
              <w:rPr>
                <w:sz w:val="24"/>
                <w:szCs w:val="24"/>
              </w:rPr>
            </w:pPr>
            <w:r w:rsidDel="00000000" w:rsidR="00000000" w:rsidRPr="00000000">
              <w:rPr>
                <w:rtl w:val="0"/>
              </w:rPr>
            </w:r>
          </w:p>
        </w:tc>
      </w:tr>
    </w:tbl>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spacing w:after="240" w:before="240" w:line="360" w:lineRule="auto"/>
        <w:rPr>
          <w:sz w:val="24"/>
          <w:szCs w:val="24"/>
        </w:rPr>
      </w:pPr>
      <w:r w:rsidDel="00000000" w:rsidR="00000000" w:rsidRPr="00000000">
        <w:rPr>
          <w:sz w:val="24"/>
          <w:szCs w:val="24"/>
          <w:rtl w:val="0"/>
        </w:rPr>
        <w:t xml:space="preserve">*İlk 500'de yer almayan nitelikli kullanıcılar, kalan 149.000 CET'i işlem hacimlerine göre paylaşacaktır.</w:t>
      </w:r>
    </w:p>
    <w:p w:rsidR="00000000" w:rsidDel="00000000" w:rsidP="00000000" w:rsidRDefault="00000000" w:rsidRPr="00000000" w14:paraId="00000030">
      <w:pPr>
        <w:pStyle w:val="Heading2"/>
        <w:keepNext w:val="0"/>
        <w:keepLines w:val="0"/>
        <w:spacing w:after="80" w:line="360" w:lineRule="auto"/>
        <w:rPr>
          <w:b w:val="1"/>
          <w:sz w:val="34"/>
          <w:szCs w:val="34"/>
        </w:rPr>
      </w:pPr>
      <w:bookmarkStart w:colFirst="0" w:colLast="0" w:name="_gn755my88lbf" w:id="3"/>
      <w:bookmarkEnd w:id="3"/>
      <w:r w:rsidDel="00000000" w:rsidR="00000000" w:rsidRPr="00000000">
        <w:rPr>
          <w:b w:val="1"/>
          <w:sz w:val="34"/>
          <w:szCs w:val="34"/>
          <w:rtl w:val="0"/>
        </w:rPr>
        <w:t xml:space="preserve">Ödül Dağıtımı</w:t>
      </w:r>
    </w:p>
    <w:p w:rsidR="00000000" w:rsidDel="00000000" w:rsidP="00000000" w:rsidRDefault="00000000" w:rsidRPr="00000000" w14:paraId="00000031">
      <w:pPr>
        <w:spacing w:after="240" w:before="240" w:line="360" w:lineRule="auto"/>
        <w:rPr>
          <w:sz w:val="24"/>
          <w:szCs w:val="24"/>
        </w:rPr>
      </w:pPr>
      <w:r w:rsidDel="00000000" w:rsidR="00000000" w:rsidRPr="00000000">
        <w:rPr>
          <w:sz w:val="24"/>
          <w:szCs w:val="24"/>
          <w:rtl w:val="0"/>
        </w:rPr>
        <w:t xml:space="preserve">Ödüller, etkinlik sona erdikten sonra 7 iş günü içinde dağıtılacaktır. Kazananlar, tüm nitelikli katılımcıların hak ettikleri ödülleri almalarını sağlayan şeffaf ve verimli bir dağıtım süreci bekleyebilirler.</w:t>
      </w:r>
    </w:p>
    <w:p w:rsidR="00000000" w:rsidDel="00000000" w:rsidP="00000000" w:rsidRDefault="00000000" w:rsidRPr="00000000" w14:paraId="00000032">
      <w:pPr>
        <w:pStyle w:val="Heading2"/>
        <w:keepNext w:val="0"/>
        <w:keepLines w:val="0"/>
        <w:spacing w:after="80" w:line="360" w:lineRule="auto"/>
        <w:rPr>
          <w:b w:val="1"/>
          <w:sz w:val="34"/>
          <w:szCs w:val="34"/>
        </w:rPr>
      </w:pPr>
      <w:bookmarkStart w:colFirst="0" w:colLast="0" w:name="_unm5z9h9l2sk" w:id="4"/>
      <w:bookmarkEnd w:id="4"/>
      <w:r w:rsidDel="00000000" w:rsidR="00000000" w:rsidRPr="00000000">
        <w:rPr>
          <w:b w:val="1"/>
          <w:sz w:val="34"/>
          <w:szCs w:val="34"/>
          <w:rtl w:val="0"/>
        </w:rPr>
        <w:t xml:space="preserve">Etkinliğe Neden Katılmalısınız?</w:t>
      </w:r>
    </w:p>
    <w:p w:rsidR="00000000" w:rsidDel="00000000" w:rsidP="00000000" w:rsidRDefault="00000000" w:rsidRPr="00000000" w14:paraId="00000033">
      <w:pPr>
        <w:spacing w:after="240" w:before="240" w:line="360" w:lineRule="auto"/>
        <w:rPr>
          <w:sz w:val="24"/>
          <w:szCs w:val="24"/>
        </w:rPr>
      </w:pPr>
      <w:r w:rsidDel="00000000" w:rsidR="00000000" w:rsidRPr="00000000">
        <w:rPr>
          <w:sz w:val="24"/>
          <w:szCs w:val="24"/>
          <w:rtl w:val="0"/>
        </w:rPr>
        <w:t xml:space="preserve">CoinEx olarak, işlem deneyiminizi hem heyecan verici hem de ödüllendirici hale getirmeye kararlıyız. Bu etkinlik, yalnızca CET kazanma şansı sunmakla kalmıyor, aynı zamanda topluluğumuzun işlem tutkusunu da kutluyor. Katılarak şunları yapma fırsatını yakalayabilirsiniz:</w:t>
      </w:r>
      <w:r w:rsidDel="00000000" w:rsidR="00000000" w:rsidRPr="00000000">
        <w:rPr>
          <w:rtl w:val="0"/>
        </w:rPr>
      </w:r>
    </w:p>
    <w:p w:rsidR="00000000" w:rsidDel="00000000" w:rsidP="00000000" w:rsidRDefault="00000000" w:rsidRPr="00000000" w14:paraId="00000034">
      <w:pPr>
        <w:numPr>
          <w:ilvl w:val="0"/>
          <w:numId w:val="2"/>
        </w:numPr>
        <w:spacing w:after="0" w:afterAutospacing="0" w:before="240" w:line="360" w:lineRule="auto"/>
        <w:ind w:left="720" w:hanging="360"/>
        <w:rPr>
          <w:sz w:val="24"/>
          <w:szCs w:val="24"/>
        </w:rPr>
      </w:pPr>
      <w:r w:rsidDel="00000000" w:rsidR="00000000" w:rsidRPr="00000000">
        <w:rPr>
          <w:b w:val="1"/>
          <w:sz w:val="24"/>
          <w:szCs w:val="24"/>
          <w:rtl w:val="0"/>
        </w:rPr>
        <w:t xml:space="preserve">Alım Satım Etkinizi Artırın:</w:t>
      </w:r>
      <w:r w:rsidDel="00000000" w:rsidR="00000000" w:rsidRPr="00000000">
        <w:rPr>
          <w:sz w:val="24"/>
          <w:szCs w:val="24"/>
          <w:rtl w:val="0"/>
        </w:rPr>
        <w:t xml:space="preserve"> İşlem hacminizi yükseltin ve liderlik tablosunda üst sıralara çıkın.</w:t>
      </w:r>
    </w:p>
    <w:p w:rsidR="00000000" w:rsidDel="00000000" w:rsidP="00000000" w:rsidRDefault="00000000" w:rsidRPr="00000000" w14:paraId="00000035">
      <w:pPr>
        <w:numPr>
          <w:ilvl w:val="0"/>
          <w:numId w:val="2"/>
        </w:numPr>
        <w:spacing w:after="0" w:afterAutospacing="0" w:before="0" w:beforeAutospacing="0" w:line="360" w:lineRule="auto"/>
        <w:ind w:left="720" w:hanging="360"/>
        <w:rPr>
          <w:sz w:val="24"/>
          <w:szCs w:val="24"/>
        </w:rPr>
      </w:pPr>
      <w:r w:rsidDel="00000000" w:rsidR="00000000" w:rsidRPr="00000000">
        <w:rPr>
          <w:b w:val="1"/>
          <w:sz w:val="24"/>
          <w:szCs w:val="24"/>
          <w:rtl w:val="0"/>
        </w:rPr>
        <w:t xml:space="preserve">Değerli Ödüller Kazanın:</w:t>
      </w:r>
      <w:r w:rsidDel="00000000" w:rsidR="00000000" w:rsidRPr="00000000">
        <w:rPr>
          <w:sz w:val="24"/>
          <w:szCs w:val="24"/>
          <w:rtl w:val="0"/>
        </w:rPr>
        <w:t xml:space="preserve"> 300.000 CET’lik ödül havuzundan payınızı alın ve portföyünüzü güçlendirin.</w:t>
      </w:r>
    </w:p>
    <w:p w:rsidR="00000000" w:rsidDel="00000000" w:rsidP="00000000" w:rsidRDefault="00000000" w:rsidRPr="00000000" w14:paraId="00000036">
      <w:pPr>
        <w:numPr>
          <w:ilvl w:val="0"/>
          <w:numId w:val="2"/>
        </w:numPr>
        <w:spacing w:after="240" w:before="0" w:beforeAutospacing="0" w:line="360" w:lineRule="auto"/>
        <w:ind w:left="720" w:hanging="360"/>
        <w:rPr>
          <w:sz w:val="24"/>
          <w:szCs w:val="24"/>
        </w:rPr>
      </w:pPr>
      <w:r w:rsidDel="00000000" w:rsidR="00000000" w:rsidRPr="00000000">
        <w:rPr>
          <w:b w:val="1"/>
          <w:sz w:val="24"/>
          <w:szCs w:val="24"/>
          <w:rtl w:val="0"/>
        </w:rPr>
        <w:t xml:space="preserve">Gelişen Bir Topluluğun Parçası Olun:</w:t>
      </w:r>
      <w:r w:rsidDel="00000000" w:rsidR="00000000" w:rsidRPr="00000000">
        <w:rPr>
          <w:sz w:val="24"/>
          <w:szCs w:val="24"/>
          <w:rtl w:val="0"/>
        </w:rPr>
        <w:t xml:space="preserve"> Yatırımcılarla etkileşime geçin, becerilerinizi adil ve rekabetçi bir ortamda sergileyin.</w:t>
      </w:r>
      <w:r w:rsidDel="00000000" w:rsidR="00000000" w:rsidRPr="00000000">
        <w:rPr>
          <w:rtl w:val="0"/>
        </w:rPr>
      </w:r>
    </w:p>
    <w:p w:rsidR="00000000" w:rsidDel="00000000" w:rsidP="00000000" w:rsidRDefault="00000000" w:rsidRPr="00000000" w14:paraId="00000037">
      <w:pPr>
        <w:spacing w:after="240" w:before="240" w:line="360" w:lineRule="auto"/>
        <w:rPr>
          <w:sz w:val="24"/>
          <w:szCs w:val="24"/>
        </w:rPr>
      </w:pPr>
      <w:r w:rsidDel="00000000" w:rsidR="00000000" w:rsidRPr="00000000">
        <w:rPr>
          <w:sz w:val="24"/>
          <w:szCs w:val="24"/>
          <w:rtl w:val="0"/>
        </w:rPr>
        <w:t xml:space="preserve">Tüm kullanıcılarımızı bu heyecan verici etkinliğe katılmaya, aktif bir şekilde işlem yapmaya ve olağanüstü ödüller kazanma fırsatını yakalamaya davet ediyoruz. Takvimlerinizi işaretleyin,</w:t>
      </w:r>
      <w:hyperlink r:id="rId7">
        <w:r w:rsidDel="00000000" w:rsidR="00000000" w:rsidRPr="00000000">
          <w:rPr>
            <w:sz w:val="24"/>
            <w:szCs w:val="24"/>
            <w:rtl w:val="0"/>
          </w:rPr>
          <w:t xml:space="preserve"> </w:t>
        </w:r>
      </w:hyperlink>
      <w:hyperlink r:id="rId8">
        <w:r w:rsidDel="00000000" w:rsidR="00000000" w:rsidRPr="00000000">
          <w:rPr>
            <w:color w:val="1155cc"/>
            <w:sz w:val="24"/>
            <w:szCs w:val="24"/>
            <w:u w:val="single"/>
            <w:rtl w:val="0"/>
          </w:rPr>
          <w:t xml:space="preserve">etkinlik sayfasından</w:t>
        </w:r>
      </w:hyperlink>
      <w:r w:rsidDel="00000000" w:rsidR="00000000" w:rsidRPr="00000000">
        <w:rPr>
          <w:sz w:val="24"/>
          <w:szCs w:val="24"/>
          <w:rtl w:val="0"/>
        </w:rPr>
        <w:t xml:space="preserve"> kaydolun ve işlem yapmaya hazır olun!</w:t>
      </w:r>
    </w:p>
    <w:p w:rsidR="00000000" w:rsidDel="00000000" w:rsidP="00000000" w:rsidRDefault="00000000" w:rsidRPr="00000000" w14:paraId="00000038">
      <w:pPr>
        <w:spacing w:after="240" w:before="240" w:line="360" w:lineRule="auto"/>
        <w:rPr>
          <w:sz w:val="24"/>
          <w:szCs w:val="24"/>
        </w:rPr>
      </w:pPr>
      <w:r w:rsidDel="00000000" w:rsidR="00000000" w:rsidRPr="00000000">
        <w:rPr>
          <w:rtl w:val="0"/>
        </w:rPr>
      </w:r>
    </w:p>
    <w:p w:rsidR="00000000" w:rsidDel="00000000" w:rsidP="00000000" w:rsidRDefault="00000000" w:rsidRPr="00000000" w14:paraId="00000039">
      <w:pPr>
        <w:spacing w:line="360" w:lineRule="auto"/>
        <w:rPr>
          <w:sz w:val="24"/>
          <w:szCs w:val="24"/>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coinex.com/en/activity/trade-rank/75" TargetMode="External"/><Relationship Id="rId8" Type="http://schemas.openxmlformats.org/officeDocument/2006/relationships/hyperlink" Target="https://www.coinex.com/en/activity/trade-rank/7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