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Başlık Etiketi: Yapay Zeka ve Kripto'nun 2025'te Nasıl Yakınlaştığını Gösteren 5 Temel Gerçek</w:t>
      </w:r>
    </w:p>
    <w:p w:rsidR="00000000" w:rsidDel="00000000" w:rsidP="00000000" w:rsidRDefault="00000000" w:rsidRPr="00000000" w14:paraId="00000002">
      <w:pPr>
        <w:rPr/>
      </w:pPr>
      <w:r w:rsidDel="00000000" w:rsidR="00000000" w:rsidRPr="00000000">
        <w:rPr>
          <w:rtl w:val="0"/>
        </w:rPr>
        <w:t xml:space="preserve">Meta Açıklaması: Yapay zeka devriminin, Bitcoin'in inovasyonu güçlendirdiği ve yatırımcıların daha akıllı dijital fırsatları keşfettiği 2025'teki kripto ön satış dönemiyle nasıl buluştuğunu keşfedin.</w:t>
      </w:r>
    </w:p>
    <w:p w:rsidR="00000000" w:rsidDel="00000000" w:rsidP="00000000" w:rsidRDefault="00000000" w:rsidRPr="00000000" w14:paraId="00000003">
      <w:pPr>
        <w:pStyle w:val="Title"/>
        <w:rPr>
          <w:b w:val="1"/>
        </w:rPr>
      </w:pPr>
      <w:bookmarkStart w:colFirst="0" w:colLast="0" w:name="_7bxfqoh13sxc" w:id="0"/>
      <w:bookmarkEnd w:id="0"/>
      <w:r w:rsidDel="00000000" w:rsidR="00000000" w:rsidRPr="00000000">
        <w:rPr>
          <w:b w:val="1"/>
          <w:rtl w:val="0"/>
        </w:rPr>
        <w:t xml:space="preserve">Ayrıcalıklı Beyaz Liste Noktaları: Neden Herkes Bu Ön Satışlara Katılmak İçin Çabalıyor!</w:t>
      </w:r>
    </w:p>
    <w:p w:rsidR="00000000" w:rsidDel="00000000" w:rsidP="00000000" w:rsidRDefault="00000000" w:rsidRPr="00000000" w14:paraId="00000004">
      <w:pPr>
        <w:rPr/>
      </w:pPr>
      <w:r w:rsidDel="00000000" w:rsidR="00000000" w:rsidRPr="00000000">
        <w:rPr>
          <w:rtl w:val="0"/>
        </w:rPr>
        <w:t xml:space="preserve">Birçok insan için telaş aynı şekilde başlar. Erken alıcıların genellikle en iyi fiyatı aldıklarını duyuyorlar, ancak daha sonra formlar, listeler ve kısaltmalardan oluşan labirenti keşfetmek çok zor geliyor. 2025'te, daha güçlü Bitcoin zemini ve özel pazarları daha yakın hissettiren yeni tokenizasyon araçları sayesinde beyaz listeye erişim arayışı tam anlamıyla yeniden başlayacak. Kurumlar geri dönüyor, perakende kullanıcılar erişim istiyor ve erken kripto ön satışının kapısı daha da açılıyor gibi görünüyor.</w:t>
      </w:r>
    </w:p>
    <w:p w:rsidR="00000000" w:rsidDel="00000000" w:rsidP="00000000" w:rsidRDefault="00000000" w:rsidRPr="00000000" w14:paraId="00000005">
      <w:pPr>
        <w:spacing w:after="0" w:before="0" w:lineRule="auto"/>
        <w:rPr/>
      </w:pPr>
      <w:hyperlink r:id="rId6">
        <w:r w:rsidDel="00000000" w:rsidR="00000000" w:rsidRPr="00000000">
          <w:rPr>
            <w:color w:val="1155cc"/>
            <w:u w:val="single"/>
          </w:rPr>
          <w:drawing>
            <wp:inline distB="114300" distT="114300" distL="114300" distR="114300">
              <wp:extent cx="5731200" cy="35306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5306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spacing w:after="200" w:before="200" w:lineRule="auto"/>
        <w:rPr/>
      </w:pPr>
      <w:r w:rsidDel="00000000" w:rsidR="00000000" w:rsidRPr="00000000">
        <w:rPr>
          <w:rtl w:val="0"/>
        </w:rPr>
        <w:t xml:space="preserve">Yeni gelenler büyük risk sermayesi çevrelerinin dışında kalmış hissedebilirken, </w:t>
      </w:r>
      <w:hyperlink r:id="rId8">
        <w:r w:rsidDel="00000000" w:rsidR="00000000" w:rsidRPr="00000000">
          <w:rPr>
            <w:color w:val="1155cc"/>
            <w:u w:val="single"/>
            <w:rtl w:val="0"/>
          </w:rPr>
          <w:t xml:space="preserve">IPO Genie ($IPO)</w:t>
        </w:r>
      </w:hyperlink>
      <w:r w:rsidDel="00000000" w:rsidR="00000000" w:rsidRPr="00000000">
        <w:rPr>
          <w:rtl w:val="0"/>
        </w:rPr>
        <w:t xml:space="preserve"> gibi projeler bu boşluğa adım atarak kurumsal tarzda erken erişimi daha geniş bir kitleye ulaştırmayı amaçlıyor. Tokenizasyon artık sadece bir kelime değil; çalışan bir köprüdür. BCG'nin son araştırması, tokenize edilmiş fonların özel pazarlara erişimi nasıl önemli ölçüde değiştirebileceğini vurguluyor.</w:t>
      </w:r>
    </w:p>
    <w:p w:rsidR="00000000" w:rsidDel="00000000" w:rsidP="00000000" w:rsidRDefault="00000000" w:rsidRPr="00000000" w14:paraId="00000007">
      <w:pPr>
        <w:pStyle w:val="Heading2"/>
        <w:rPr>
          <w:b w:val="1"/>
        </w:rPr>
      </w:pPr>
      <w:bookmarkStart w:colFirst="0" w:colLast="0" w:name="_htbmaxnw24jd" w:id="1"/>
      <w:bookmarkEnd w:id="1"/>
      <w:r w:rsidDel="00000000" w:rsidR="00000000" w:rsidRPr="00000000">
        <w:rPr>
          <w:b w:val="1"/>
          <w:rtl w:val="0"/>
        </w:rPr>
        <w:t xml:space="preserve">Neden 2025'te Kripto Ön Satış Hızı?</w:t>
      </w:r>
    </w:p>
    <w:p w:rsidR="00000000" w:rsidDel="00000000" w:rsidP="00000000" w:rsidRDefault="00000000" w:rsidRPr="00000000" w14:paraId="00000008">
      <w:pPr>
        <w:spacing w:after="200" w:before="200" w:lineRule="auto"/>
        <w:rPr/>
      </w:pPr>
      <w:r w:rsidDel="00000000" w:rsidR="00000000" w:rsidRPr="00000000">
        <w:rPr>
          <w:rtl w:val="0"/>
        </w:rPr>
        <w:t xml:space="preserve">Bitcoin'in istikrarlı yükselişi gidişatı belirliyor. Yeni zirveler ve sürekli ETF akışlarıyla ralli, perakende katılımcılarının yeniden ilgisini çekiyor. Bir Reuters raporu, yeni Bitcoin zirvelerinin yanı sıra rekor kripto ETF girişlerinin de dikkatin geri döndüğüne dair bir işaret olduğunu kaydetti. </w:t>
      </w:r>
    </w:p>
    <w:p w:rsidR="00000000" w:rsidDel="00000000" w:rsidP="00000000" w:rsidRDefault="00000000" w:rsidRPr="00000000" w14:paraId="00000009">
      <w:pPr>
        <w:spacing w:after="200" w:before="200" w:lineRule="auto"/>
        <w:rPr/>
      </w:pPr>
      <w:r w:rsidDel="00000000" w:rsidR="00000000" w:rsidRPr="00000000">
        <w:rPr>
          <w:rtl w:val="0"/>
        </w:rPr>
        <w:t xml:space="preserve">Bitcoin güçlendiğinde perakende kullanıcılar bir sonraki potansiyel fırsatı aramaya başlar. Token lansmanlarındaki erken noktalar cazip görünüyor çünkü halka açık satıştan önce giriş avantajları sunabiliyorlar. Bu arada tokenizasyon teoriden pratiğe geçiyor, büyük kurumlar varlıkları tokenize ediyor, bu da </w:t>
      </w:r>
      <w:hyperlink r:id="rId9">
        <w:r w:rsidDel="00000000" w:rsidR="00000000" w:rsidRPr="00000000">
          <w:rPr>
            <w:b w:val="1"/>
            <w:color w:val="1155cc"/>
            <w:u w:val="single"/>
            <w:rtl w:val="0"/>
          </w:rPr>
          <w:t xml:space="preserve">zincir üzeri finansın</w:t>
        </w:r>
      </w:hyperlink>
      <w:r w:rsidDel="00000000" w:rsidR="00000000" w:rsidRPr="00000000">
        <w:rPr>
          <w:rtl w:val="0"/>
        </w:rPr>
        <w:t xml:space="preserve"> olgunlaştığını gösteriyor.</w:t>
      </w:r>
    </w:p>
    <w:p w:rsidR="00000000" w:rsidDel="00000000" w:rsidP="00000000" w:rsidRDefault="00000000" w:rsidRPr="00000000" w14:paraId="0000000A">
      <w:pPr>
        <w:pStyle w:val="Heading2"/>
        <w:spacing w:after="200" w:before="200" w:lineRule="auto"/>
        <w:rPr>
          <w:b w:val="1"/>
        </w:rPr>
      </w:pPr>
      <w:bookmarkStart w:colFirst="0" w:colLast="0" w:name="_jbstl2u1q6li" w:id="2"/>
      <w:bookmarkEnd w:id="2"/>
      <w:r w:rsidDel="00000000" w:rsidR="00000000" w:rsidRPr="00000000">
        <w:rPr>
          <w:b w:val="1"/>
          <w:rtl w:val="0"/>
        </w:rPr>
        <w:t xml:space="preserve">Beyaz Liste Noktaları Size Aslında Ne Verir?</w:t>
      </w:r>
    </w:p>
    <w:p w:rsidR="00000000" w:rsidDel="00000000" w:rsidP="00000000" w:rsidRDefault="00000000" w:rsidRPr="00000000" w14:paraId="0000000B">
      <w:pPr>
        <w:spacing w:after="200" w:before="200" w:lineRule="auto"/>
        <w:rPr/>
      </w:pPr>
      <w:r w:rsidDel="00000000" w:rsidR="00000000" w:rsidRPr="00000000">
        <w:rPr>
          <w:rtl w:val="0"/>
        </w:rPr>
        <w:t xml:space="preserve">Beyaz liste, bir satışa katılma önceliği olan onaylanmış katılımcıların listesidir. Token dünyasında bu genellikle halka açık turlardan daha erken veya daha güvenilir erişim anlamına gelir. Çoğu kişi için bu, fuara giriş ile token listesine kadar beklemek arasındaki farktır. </w:t>
      </w:r>
    </w:p>
    <w:p w:rsidR="00000000" w:rsidDel="00000000" w:rsidP="00000000" w:rsidRDefault="00000000" w:rsidRPr="00000000" w14:paraId="0000000C">
      <w:pPr>
        <w:spacing w:after="200" w:before="200" w:lineRule="auto"/>
        <w:rPr/>
      </w:pPr>
      <w:r w:rsidDel="00000000" w:rsidR="00000000" w:rsidRPr="00000000">
        <w:rPr>
          <w:rtl w:val="0"/>
        </w:rPr>
        <w:t xml:space="preserve">Uygulamada, kayıt olmak, bir cüzdanı bağlamak, belki birkaç görevi tamamlamak ve ardından tahsisi onaylamak gibi adımları göreceksiniz. Galxe ve Zealy gibi platformlar bu süreci kolaylaştırıyor: görevler, rozetler ve kanıtlar gerçek katılımı doğruluyor. Daha önce kendinizi dışlanmış hissettiyseniz, bu sizin katılma şansınızdır.</w:t>
      </w:r>
    </w:p>
    <w:p w:rsidR="00000000" w:rsidDel="00000000" w:rsidP="00000000" w:rsidRDefault="00000000" w:rsidRPr="00000000" w14:paraId="0000000D">
      <w:pPr>
        <w:pStyle w:val="Heading2"/>
        <w:spacing w:after="200" w:before="200" w:lineRule="auto"/>
        <w:rPr>
          <w:b w:val="1"/>
        </w:rPr>
      </w:pPr>
      <w:bookmarkStart w:colFirst="0" w:colLast="0" w:name="_bvlqlcgykeyo" w:id="3"/>
      <w:bookmarkEnd w:id="3"/>
      <w:r w:rsidDel="00000000" w:rsidR="00000000" w:rsidRPr="00000000">
        <w:rPr>
          <w:b w:val="1"/>
          <w:rtl w:val="0"/>
        </w:rPr>
        <w:t xml:space="preserve">Yatırımcının Anı ve Bu Kripto Satış Öncesi Dalganın Şekillendiği Yer</w:t>
      </w:r>
    </w:p>
    <w:p w:rsidR="00000000" w:rsidDel="00000000" w:rsidP="00000000" w:rsidRDefault="00000000" w:rsidRPr="00000000" w14:paraId="0000000E">
      <w:pPr>
        <w:spacing w:after="200" w:before="200" w:lineRule="auto"/>
        <w:rPr/>
      </w:pPr>
      <w:r w:rsidDel="00000000" w:rsidR="00000000" w:rsidRPr="00000000">
        <w:rPr>
          <w:rtl w:val="0"/>
        </w:rPr>
        <w:t xml:space="preserve">Erken erişim pazarının ne kadar geniş hale geldiğini gösteren dört sıcak kripto ön satışına bakalım:</w:t>
      </w:r>
    </w:p>
    <w:p w:rsidR="00000000" w:rsidDel="00000000" w:rsidP="00000000" w:rsidRDefault="00000000" w:rsidRPr="00000000" w14:paraId="0000000F">
      <w:pPr>
        <w:numPr>
          <w:ilvl w:val="0"/>
          <w:numId w:val="1"/>
        </w:numPr>
        <w:spacing w:after="200" w:before="200" w:lineRule="auto"/>
        <w:ind w:left="720" w:hanging="360"/>
        <w:rPr>
          <w:u w:val="none"/>
        </w:rPr>
      </w:pPr>
      <w:r w:rsidDel="00000000" w:rsidR="00000000" w:rsidRPr="00000000">
        <w:rPr>
          <w:rtl w:val="0"/>
        </w:rPr>
        <w:t xml:space="preserve">BEST Token: Best Wallet token'ı, "incelenmiş kripto ön satışlarına özel uygulama içi erişim" ve staking ödülleri sunuyor olarak tanımlanıyor. 2025 yılının en umut verici kripto ön satışları arasında yer aldı.</w:t>
      </w:r>
    </w:p>
    <w:p w:rsidR="00000000" w:rsidDel="00000000" w:rsidP="00000000" w:rsidRDefault="00000000" w:rsidRPr="00000000" w14:paraId="00000010">
      <w:pPr>
        <w:spacing w:after="0" w:before="0" w:lineRule="auto"/>
        <w:rPr/>
      </w:pPr>
      <w:hyperlink r:id="rId10">
        <w:r w:rsidDel="00000000" w:rsidR="00000000" w:rsidRPr="00000000">
          <w:rPr>
            <w:color w:val="1155cc"/>
            <w:u w:val="single"/>
          </w:rPr>
          <w:drawing>
            <wp:inline distB="114300" distT="114300" distL="114300" distR="114300">
              <wp:extent cx="5731200" cy="7112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31200" cy="7112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numPr>
          <w:ilvl w:val="0"/>
          <w:numId w:val="4"/>
        </w:numPr>
        <w:spacing w:after="0" w:before="0" w:lineRule="auto"/>
        <w:ind w:left="720" w:hanging="360"/>
        <w:rPr>
          <w:u w:val="none"/>
        </w:rPr>
      </w:pPr>
      <w:r w:rsidDel="00000000" w:rsidR="00000000" w:rsidRPr="00000000">
        <w:rPr>
          <w:rtl w:val="0"/>
        </w:rPr>
        <w:t xml:space="preserve">Bitcoin Hyper (HYPER): Meme-coin çekiciliğini pratik özelliklerle birleştirerek Bitcoin'e Katman-2 işlevselliğini getirmeyi amaçlayan bir ön satış. Fayda ve topluluk katılımını birbirine bağlaması dikkat çekti.</w:t>
      </w:r>
    </w:p>
    <w:p w:rsidR="00000000" w:rsidDel="00000000" w:rsidP="00000000" w:rsidRDefault="00000000" w:rsidRPr="00000000" w14:paraId="00000012">
      <w:pPr>
        <w:numPr>
          <w:ilvl w:val="0"/>
          <w:numId w:val="4"/>
        </w:numPr>
        <w:spacing w:after="0" w:before="0" w:lineRule="auto"/>
        <w:ind w:left="720" w:hanging="360"/>
        <w:rPr>
          <w:u w:val="none"/>
        </w:rPr>
      </w:pPr>
      <w:r w:rsidDel="00000000" w:rsidR="00000000" w:rsidRPr="00000000">
        <w:rPr>
          <w:rtl w:val="0"/>
        </w:rPr>
        <w:t xml:space="preserve">BlockDAG (DAG): İşlem verimliliğini artırmaya odaklanan ölçeklenebilir bir blockchain projesi. Erken katılanları ödüllendiren yapılandırılmış bir bonus sistemi ile kayda değer miktarda fon topladı.</w:t>
      </w:r>
    </w:p>
    <w:p w:rsidR="00000000" w:rsidDel="00000000" w:rsidP="00000000" w:rsidRDefault="00000000" w:rsidRPr="00000000" w14:paraId="00000013">
      <w:pPr>
        <w:numPr>
          <w:ilvl w:val="0"/>
          <w:numId w:val="4"/>
        </w:numPr>
        <w:spacing w:after="0" w:before="0" w:lineRule="auto"/>
        <w:ind w:left="720" w:hanging="360"/>
        <w:rPr>
          <w:u w:val="none"/>
        </w:rPr>
      </w:pPr>
      <w:r w:rsidDel="00000000" w:rsidR="00000000" w:rsidRPr="00000000">
        <w:rPr>
          <w:rtl w:val="0"/>
        </w:rPr>
        <w:t xml:space="preserve">IPO Genie ($IPO): Özel pazarlara ve satış öncesi anlaşmalara özel bir yatırım kapısı oluşturmayı amaçlayan bir proje. Modeli </w:t>
      </w:r>
      <w:hyperlink r:id="rId12">
        <w:r w:rsidDel="00000000" w:rsidR="00000000" w:rsidRPr="00000000">
          <w:rPr>
            <w:b w:val="1"/>
            <w:color w:val="1155cc"/>
            <w:u w:val="single"/>
            <w:rtl w:val="0"/>
          </w:rPr>
          <w:t xml:space="preserve">en iyi kripto platformu </w:t>
        </w:r>
      </w:hyperlink>
      <w:r w:rsidDel="00000000" w:rsidR="00000000" w:rsidRPr="00000000">
        <w:rPr>
          <w:rtl w:val="0"/>
        </w:rPr>
        <w:t xml:space="preserve">olarak öne çıkıyor çünkü titizliği, token erişimini ve ikincil likiditeyi bir araya getiriyor.</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Bu örnekler cüzdanları, Bitcoin katmanı inovasyonunu, altyapıyı ve seçilmiş anlaşma platformlarını kapsamaktadır. Erken giriş arayanların yalnızca rastgele trendleri kovalamadıklarını, çeşitlilik, şeffaflık ve sağlam yapı aradıklarını gösteriyorlar.</w:t>
      </w:r>
    </w:p>
    <w:p w:rsidR="00000000" w:rsidDel="00000000" w:rsidP="00000000" w:rsidRDefault="00000000" w:rsidRPr="00000000" w14:paraId="00000016">
      <w:pPr>
        <w:pStyle w:val="Heading2"/>
        <w:spacing w:after="200" w:before="200" w:lineRule="auto"/>
        <w:rPr>
          <w:b w:val="1"/>
        </w:rPr>
      </w:pPr>
      <w:bookmarkStart w:colFirst="0" w:colLast="0" w:name="_doe5kklqz43a" w:id="4"/>
      <w:bookmarkEnd w:id="4"/>
      <w:r w:rsidDel="00000000" w:rsidR="00000000" w:rsidRPr="00000000">
        <w:rPr>
          <w:b w:val="1"/>
          <w:rtl w:val="0"/>
        </w:rPr>
        <w:t xml:space="preserve">Herhangi Bir Kripto Ön Satışından Önce Basit Bir Kontrol Listesi</w:t>
      </w:r>
    </w:p>
    <w:p w:rsidR="00000000" w:rsidDel="00000000" w:rsidP="00000000" w:rsidRDefault="00000000" w:rsidRPr="00000000" w14:paraId="00000017">
      <w:pPr>
        <w:spacing w:after="200" w:before="200" w:lineRule="auto"/>
        <w:rPr/>
      </w:pPr>
      <w:r w:rsidDel="00000000" w:rsidR="00000000" w:rsidRPr="00000000">
        <w:rPr>
          <w:rtl w:val="0"/>
        </w:rPr>
        <w:t xml:space="preserve">Bir proje dikkatinizi çekerse beş dakikanızı ayırın ve bu filtreyi kullanın:</w:t>
      </w:r>
    </w:p>
    <w:p w:rsidR="00000000" w:rsidDel="00000000" w:rsidP="00000000" w:rsidRDefault="00000000" w:rsidRPr="00000000" w14:paraId="00000018">
      <w:pPr>
        <w:numPr>
          <w:ilvl w:val="0"/>
          <w:numId w:val="2"/>
        </w:numPr>
        <w:spacing w:after="0" w:afterAutospacing="0" w:before="200" w:lineRule="auto"/>
        <w:ind w:left="720" w:hanging="360"/>
        <w:rPr>
          <w:u w:val="none"/>
        </w:rPr>
      </w:pPr>
      <w:r w:rsidDel="00000000" w:rsidR="00000000" w:rsidRPr="00000000">
        <w:rPr>
          <w:rtl w:val="0"/>
        </w:rPr>
        <w:t xml:space="preserve">Kaynağı kontrol edin. Resmi alanı, ekip ayrıntılarını ve temel şartları (tedarik, hak kazanma, zincir) doğrulayın. Yasal sayfalar tahsis, kilitlenmeler ve haklar konusunda nettir.</w:t>
      </w:r>
    </w:p>
    <w:p w:rsidR="00000000" w:rsidDel="00000000" w:rsidP="00000000" w:rsidRDefault="00000000" w:rsidRPr="00000000" w14:paraId="00000019">
      <w:pPr>
        <w:numPr>
          <w:ilvl w:val="0"/>
          <w:numId w:val="2"/>
        </w:numPr>
        <w:spacing w:after="200" w:before="0" w:beforeAutospacing="0" w:lineRule="auto"/>
        <w:ind w:left="720" w:hanging="360"/>
        <w:rPr>
          <w:u w:val="none"/>
        </w:rPr>
      </w:pPr>
      <w:r w:rsidDel="00000000" w:rsidR="00000000" w:rsidRPr="00000000">
        <w:rPr>
          <w:rtl w:val="0"/>
        </w:rPr>
        <w:t xml:space="preserve">Araçları onaylayın. Görevler veya rozetler söz konusuysa bunların doğrulanmış portallarda barındırıldığından ve sürecin meşru cüzdan bağlantılarına yol açtığından emin olun.</w:t>
      </w:r>
    </w:p>
    <w:p w:rsidR="00000000" w:rsidDel="00000000" w:rsidP="00000000" w:rsidRDefault="00000000" w:rsidRPr="00000000" w14:paraId="0000001A">
      <w:pPr>
        <w:spacing w:after="200" w:before="200" w:lineRule="auto"/>
        <w:rPr/>
      </w:pPr>
      <w:r w:rsidDel="00000000" w:rsidR="00000000" w:rsidRPr="00000000">
        <w:rPr>
          <w:sz w:val="24"/>
          <w:szCs w:val="24"/>
        </w:rPr>
        <w:drawing>
          <wp:inline distB="114300" distT="114300" distL="114300" distR="114300">
            <wp:extent cx="5731200" cy="3048000"/>
            <wp:effectExtent b="0" l="0" r="0" t="0"/>
            <wp:docPr id="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7312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00" w:before="200" w:lineRule="auto"/>
        <w:rPr/>
      </w:pPr>
      <w:hyperlink r:id="rId14">
        <w:r w:rsidDel="00000000" w:rsidR="00000000" w:rsidRPr="00000000">
          <w:rPr>
            <w:color w:val="1155cc"/>
            <w:sz w:val="24"/>
            <w:szCs w:val="24"/>
            <w:u w:val="single"/>
            <w:rtl w:val="0"/>
          </w:rPr>
          <w:t xml:space="preserve">Unsplash</w:t>
        </w:r>
      </w:hyperlink>
      <w:r w:rsidDel="00000000" w:rsidR="00000000" w:rsidRPr="00000000">
        <w:rPr>
          <w:rtl w:val="0"/>
        </w:rPr>
      </w:r>
    </w:p>
    <w:p w:rsidR="00000000" w:rsidDel="00000000" w:rsidP="00000000" w:rsidRDefault="00000000" w:rsidRPr="00000000" w14:paraId="0000001C">
      <w:pPr>
        <w:numPr>
          <w:ilvl w:val="0"/>
          <w:numId w:val="3"/>
        </w:numPr>
        <w:spacing w:after="0" w:afterAutospacing="0" w:before="200" w:lineRule="auto"/>
        <w:ind w:left="720" w:hanging="360"/>
        <w:rPr>
          <w:u w:val="none"/>
        </w:rPr>
      </w:pPr>
      <w:r w:rsidDel="00000000" w:rsidR="00000000" w:rsidRPr="00000000">
        <w:rPr>
          <w:rtl w:val="0"/>
        </w:rPr>
        <w:t xml:space="preserve">Uyumluluk sinyallerini arayın. Bir token "tokenize edilmiş hisseler" veya "özel piyasa riski" iddiasında bulunuyorsa KYC'yi, düzenleyici çerçeveyi veya saklama geçmişini kontrol edin. Bu ayrıntılar önemlidir.</w:t>
      </w:r>
    </w:p>
    <w:p w:rsidR="00000000" w:rsidDel="00000000" w:rsidP="00000000" w:rsidRDefault="00000000" w:rsidRPr="00000000" w14:paraId="0000001D">
      <w:pPr>
        <w:numPr>
          <w:ilvl w:val="0"/>
          <w:numId w:val="3"/>
        </w:numPr>
        <w:spacing w:after="200" w:before="0" w:beforeAutospacing="0" w:lineRule="auto"/>
        <w:ind w:left="720" w:hanging="360"/>
        <w:rPr>
          <w:u w:val="none"/>
        </w:rPr>
      </w:pPr>
      <w:r w:rsidDel="00000000" w:rsidR="00000000" w:rsidRPr="00000000">
        <w:rPr>
          <w:rtl w:val="0"/>
        </w:rPr>
        <w:t xml:space="preserve">Çıkış yolunuzu anlayın. Erken erişim caziptir ancak likidite önemlidir. Ne zaman ve nerede satış yapabileceğinizi, hangi pazarların planlandığını ve listelemenin nasıl ele alınacağını bilin.</w:t>
      </w:r>
    </w:p>
    <w:p w:rsidR="00000000" w:rsidDel="00000000" w:rsidP="00000000" w:rsidRDefault="00000000" w:rsidRPr="00000000" w14:paraId="0000001E">
      <w:pPr>
        <w:pStyle w:val="Heading2"/>
        <w:spacing w:after="200" w:before="200" w:lineRule="auto"/>
        <w:rPr>
          <w:b w:val="1"/>
        </w:rPr>
      </w:pPr>
      <w:bookmarkStart w:colFirst="0" w:colLast="0" w:name="_qdetglxq6ejm" w:id="5"/>
      <w:bookmarkEnd w:id="5"/>
      <w:r w:rsidDel="00000000" w:rsidR="00000000" w:rsidRPr="00000000">
        <w:rPr>
          <w:b w:val="1"/>
          <w:rtl w:val="0"/>
        </w:rPr>
        <w:t xml:space="preserve">IPO Genie Başlangıç ​​Noktanız Nerede Olabilir?</w:t>
      </w:r>
    </w:p>
    <w:p w:rsidR="00000000" w:rsidDel="00000000" w:rsidP="00000000" w:rsidRDefault="00000000" w:rsidRPr="00000000" w14:paraId="0000001F">
      <w:pPr>
        <w:spacing w:after="200" w:before="200" w:lineRule="auto"/>
        <w:rPr/>
      </w:pPr>
      <w:r w:rsidDel="00000000" w:rsidR="00000000" w:rsidRPr="00000000">
        <w:rPr>
          <w:rtl w:val="0"/>
        </w:rPr>
        <w:t xml:space="preserve">Erken erişim modellerinin çeşitliliği arasında IPO Genie birçok büyük açığı kapatıyor. Yalnızca token erişimi sunmak yerine, startupları, halka arz öncesi şirketleri ve incelenmiş kripto projelerini kapsayan özel olarak hazırlanmış anlaşma akışı sunar. $IPO'yu elinde tutmak, katmanlı erişimin, gelire katılımın, staking'in ve yönetişimin kilidini açar. Amacı, sıradan yatırımcılara, büyük fonların hâlihazırda faydalandığı, ancak geleneksel engellerin bulunmadığı bir versiyonunu sunmaktır.</w:t>
      </w:r>
    </w:p>
    <w:p w:rsidR="00000000" w:rsidDel="00000000" w:rsidP="00000000" w:rsidRDefault="00000000" w:rsidRPr="00000000" w14:paraId="00000020">
      <w:pPr>
        <w:spacing w:after="200" w:before="200" w:lineRule="auto"/>
        <w:rPr/>
      </w:pPr>
      <w:r w:rsidDel="00000000" w:rsidR="00000000" w:rsidRPr="00000000">
        <w:rPr>
          <w:rtl w:val="0"/>
        </w:rPr>
        <w:t xml:space="preserve">Birçok kripto ön satış platformunun erişim veya altyapı sunduğu bir pazarda, IPO Genie her ikisini de sağlamayı hedefliyor: erişim artı kalite artı likidite. Bu kombinasyon, </w:t>
      </w:r>
      <w:hyperlink r:id="rId15">
        <w:r w:rsidDel="00000000" w:rsidR="00000000" w:rsidRPr="00000000">
          <w:rPr>
            <w:color w:val="1155cc"/>
            <w:u w:val="single"/>
            <w:rtl w:val="0"/>
          </w:rPr>
          <w:t xml:space="preserve">en iyi erken giriş yatırım</w:t>
        </w:r>
      </w:hyperlink>
      <w:r w:rsidDel="00000000" w:rsidR="00000000" w:rsidRPr="00000000">
        <w:rPr>
          <w:rtl w:val="0"/>
        </w:rPr>
        <w:t xml:space="preserve"> seçeneklerini karşılaştırırken araştırma listesinde yer alması için doğal bir neden sağlıyor. Bu bir söz değil, başlamak için pratik bir yer.</w:t>
      </w:r>
    </w:p>
    <w:p w:rsidR="00000000" w:rsidDel="00000000" w:rsidP="00000000" w:rsidRDefault="00000000" w:rsidRPr="00000000" w14:paraId="00000021">
      <w:pPr>
        <w:pStyle w:val="Heading2"/>
        <w:spacing w:after="200" w:before="200" w:lineRule="auto"/>
        <w:rPr>
          <w:b w:val="1"/>
        </w:rPr>
      </w:pPr>
      <w:bookmarkStart w:colFirst="0" w:colLast="0" w:name="_l6pbem9oeqjq" w:id="6"/>
      <w:bookmarkEnd w:id="6"/>
      <w:r w:rsidDel="00000000" w:rsidR="00000000" w:rsidRPr="00000000">
        <w:rPr>
          <w:b w:val="1"/>
          <w:rtl w:val="0"/>
        </w:rPr>
        <w:t xml:space="preserve">Hızlı SSS </w:t>
      </w:r>
    </w:p>
    <w:p w:rsidR="00000000" w:rsidDel="00000000" w:rsidP="00000000" w:rsidRDefault="00000000" w:rsidRPr="00000000" w14:paraId="00000022">
      <w:pPr>
        <w:spacing w:after="200" w:before="200" w:lineRule="auto"/>
        <w:rPr>
          <w:b w:val="1"/>
        </w:rPr>
      </w:pPr>
      <w:r w:rsidDel="00000000" w:rsidR="00000000" w:rsidRPr="00000000">
        <w:rPr>
          <w:b w:val="1"/>
          <w:rtl w:val="0"/>
        </w:rPr>
        <w:t xml:space="preserve">Beyaz Liste Noktaları 2025'te Gerçekten Buna Değer mi?</w:t>
      </w:r>
    </w:p>
    <w:p w:rsidR="00000000" w:rsidDel="00000000" w:rsidP="00000000" w:rsidRDefault="00000000" w:rsidRPr="00000000" w14:paraId="00000023">
      <w:pPr>
        <w:spacing w:after="200" w:before="200" w:lineRule="auto"/>
        <w:rPr/>
      </w:pPr>
      <w:r w:rsidDel="00000000" w:rsidR="00000000" w:rsidRPr="00000000">
        <w:rPr>
          <w:rtl w:val="0"/>
        </w:rPr>
        <w:t xml:space="preserve">Tahsis ve erken fiyatlandırmaya değer veriyorsanız bunlar olabilir. Piyasa duyarlılığı olumlu olduğunda erken noktalar daha önemli olabilir. Ancak giriş fiyatı, uygulama ve ekip hala önemlidir.</w:t>
      </w:r>
    </w:p>
    <w:p w:rsidR="00000000" w:rsidDel="00000000" w:rsidP="00000000" w:rsidRDefault="00000000" w:rsidRPr="00000000" w14:paraId="00000024">
      <w:pPr>
        <w:spacing w:after="200" w:before="200" w:lineRule="auto"/>
        <w:rPr>
          <w:b w:val="1"/>
        </w:rPr>
      </w:pPr>
      <w:r w:rsidDel="00000000" w:rsidR="00000000" w:rsidRPr="00000000">
        <w:rPr>
          <w:b w:val="1"/>
          <w:rtl w:val="0"/>
        </w:rPr>
        <w:t xml:space="preserve">Hangi Araçları Kullanacağım?</w:t>
      </w:r>
    </w:p>
    <w:p w:rsidR="00000000" w:rsidDel="00000000" w:rsidP="00000000" w:rsidRDefault="00000000" w:rsidRPr="00000000" w14:paraId="00000025">
      <w:pPr>
        <w:spacing w:after="200" w:before="200" w:lineRule="auto"/>
        <w:rPr/>
      </w:pPr>
      <w:r w:rsidDel="00000000" w:rsidR="00000000" w:rsidRPr="00000000">
        <w:rPr>
          <w:rtl w:val="0"/>
        </w:rPr>
        <w:t xml:space="preserve">Çoğu kampanya, görev platformlarını ve cüzdan bağlayıcılarını kullanır. Galxe, Zealy veya benzeri portallara aşina olmak katılımı daha sorunsuz hale getirir.</w:t>
      </w:r>
    </w:p>
    <w:p w:rsidR="00000000" w:rsidDel="00000000" w:rsidP="00000000" w:rsidRDefault="00000000" w:rsidRPr="00000000" w14:paraId="00000026">
      <w:pPr>
        <w:spacing w:after="200" w:before="200" w:lineRule="auto"/>
        <w:rPr>
          <w:b w:val="1"/>
        </w:rPr>
      </w:pPr>
      <w:r w:rsidDel="00000000" w:rsidR="00000000" w:rsidRPr="00000000">
        <w:rPr>
          <w:b w:val="1"/>
          <w:rtl w:val="0"/>
        </w:rPr>
        <w:t xml:space="preserve">Platformları Nasıl Karşılaştırabilirim?</w:t>
      </w:r>
    </w:p>
    <w:p w:rsidR="00000000" w:rsidDel="00000000" w:rsidP="00000000" w:rsidRDefault="00000000" w:rsidRPr="00000000" w14:paraId="00000027">
      <w:pPr>
        <w:spacing w:after="200" w:before="200" w:lineRule="auto"/>
        <w:rPr/>
      </w:pPr>
      <w:r w:rsidDel="00000000" w:rsidR="00000000" w:rsidRPr="00000000">
        <w:rPr>
          <w:rtl w:val="0"/>
        </w:rPr>
        <w:t xml:space="preserve">Sorun: Şartlar şeffaf mı? Gerçek bir durum tespiti var mı? Uyumluluk nasıl yönetilir? Çıkış seçenekleri açıkça belirtilmiş mi? Bu sorular güvenilir projeleri diğerlerinden ayırır.</w:t>
      </w:r>
    </w:p>
    <w:p w:rsidR="00000000" w:rsidDel="00000000" w:rsidP="00000000" w:rsidRDefault="00000000" w:rsidRPr="00000000" w14:paraId="00000028">
      <w:pPr>
        <w:pStyle w:val="Heading3"/>
        <w:spacing w:after="200" w:before="200" w:lineRule="auto"/>
        <w:rPr>
          <w:b w:val="1"/>
        </w:rPr>
      </w:pPr>
      <w:bookmarkStart w:colFirst="0" w:colLast="0" w:name="_qujxuz8qgjpm" w:id="7"/>
      <w:bookmarkEnd w:id="7"/>
      <w:r w:rsidDel="00000000" w:rsidR="00000000" w:rsidRPr="00000000">
        <w:rPr>
          <w:b w:val="1"/>
          <w:rtl w:val="0"/>
        </w:rPr>
        <w:t xml:space="preserve">Kapanış Düşüncesi</w:t>
      </w:r>
    </w:p>
    <w:p w:rsidR="00000000" w:rsidDel="00000000" w:rsidP="00000000" w:rsidRDefault="00000000" w:rsidRPr="00000000" w14:paraId="00000029">
      <w:pPr>
        <w:spacing w:after="200" w:before="200" w:lineRule="auto"/>
        <w:rPr/>
      </w:pPr>
      <w:r w:rsidDel="00000000" w:rsidR="00000000" w:rsidRPr="00000000">
        <w:rPr>
          <w:rtl w:val="0"/>
        </w:rPr>
        <w:t xml:space="preserve">İlk noktalara olan ilginin yeniden canlanması heyecanla ilgili değil; erişimle ilgilidir. İnsanlar bir proje geniş çapta kullanılabilir hale gelmeden önce adil bir katılım yolu istiyor ve teknoloji sonunda bu talebi karşılıyor. Bir kripto ön satışıyla ilgileniyorsanız izin verilenler listesini bir vaat olarak değil, bir fırsat olarak düşünün. Bir veya iki iyi proje seçin, ödevinizi yapın ve acele etmeyin. Bu alanda IPO Genie başlamak için iyi bir yer olabilir; basit, şeffaftır ve erken yatırımın anlaşılmasını kolaylaştırmak ve katılmayı daha güvenli hale getirmek için tasarlanmıştır.</w:t>
      </w:r>
    </w:p>
    <w:p w:rsidR="00000000" w:rsidDel="00000000" w:rsidP="00000000" w:rsidRDefault="00000000" w:rsidRPr="00000000" w14:paraId="0000002A">
      <w:pPr>
        <w:spacing w:after="200" w:before="200" w:lineRule="auto"/>
        <w:rPr/>
      </w:pPr>
      <w:r w:rsidDel="00000000" w:rsidR="00000000" w:rsidRPr="00000000">
        <w:rPr>
          <w:rtl w:val="0"/>
        </w:rPr>
        <w:t xml:space="preserve">Daha fazla bilgi için şu adresi ziyaret edin: </w:t>
      </w:r>
    </w:p>
    <w:p w:rsidR="00000000" w:rsidDel="00000000" w:rsidP="00000000" w:rsidRDefault="00000000" w:rsidRPr="00000000" w14:paraId="0000002B">
      <w:pPr>
        <w:spacing w:after="200" w:before="200" w:lineRule="auto"/>
        <w:rPr/>
      </w:pPr>
      <w:hyperlink r:id="rId16">
        <w:r w:rsidDel="00000000" w:rsidR="00000000" w:rsidRPr="00000000">
          <w:rPr>
            <w:color w:val="1155cc"/>
            <w:u w:val="single"/>
            <w:rtl w:val="0"/>
          </w:rPr>
          <w:t xml:space="preserve">IPO Genie web sitesi|</w:t>
        </w:r>
      </w:hyperlink>
      <w:r w:rsidDel="00000000" w:rsidR="00000000" w:rsidRPr="00000000">
        <w:rPr>
          <w:rtl w:val="0"/>
        </w:rPr>
        <w:t xml:space="preserve"> IPO Genie'yi X'te takip edin | Twitter'da $ halka arz </w:t>
      </w:r>
    </w:p>
    <w:p w:rsidR="00000000" w:rsidDel="00000000" w:rsidP="00000000" w:rsidRDefault="00000000" w:rsidRPr="00000000" w14:paraId="0000002C">
      <w:pPr>
        <w:spacing w:after="200" w:before="200" w:lineRule="auto"/>
        <w:rPr/>
      </w:pPr>
      <w:r w:rsidDel="00000000" w:rsidR="00000000" w:rsidRPr="00000000">
        <w:rPr>
          <w:rtl w:val="0"/>
        </w:rPr>
        <w:t xml:space="preserve">Yasal Uyarı: Bu içerik yalnızca bilgilendirme amaçlıdır ve finansal veya yatırım tavsiyesi olarak değerlendirilmemelidir.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ipogenie.ai/" TargetMode="External"/><Relationship Id="rId13" Type="http://schemas.openxmlformats.org/officeDocument/2006/relationships/image" Target="media/image3.png"/><Relationship Id="rId12" Type="http://schemas.openxmlformats.org/officeDocument/2006/relationships/hyperlink" Target="https://ipogenie.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vestopedia.com/terms/c/chain-transactions-cryptocurrency.asp" TargetMode="External"/><Relationship Id="rId15" Type="http://schemas.openxmlformats.org/officeDocument/2006/relationships/hyperlink" Target="https://coincentral.com/ipo-genieipo-the-best-ai-crypto-ready-to-redefine-investing-launching-its-presale-soon/#:~:text=What%20makes%20IPO%20Genie%20a,%2C%20high%2Dpotential%20investment%20opportunity." TargetMode="External"/><Relationship Id="rId14" Type="http://schemas.openxmlformats.org/officeDocument/2006/relationships/hyperlink" Target="https://unsplash.com/photos/black-flat-screen-computer-monitor-eNStVITP_10" TargetMode="External"/><Relationship Id="rId16" Type="http://schemas.openxmlformats.org/officeDocument/2006/relationships/hyperlink" Target="https://ipogenie.ai/" TargetMode="External"/><Relationship Id="rId5" Type="http://schemas.openxmlformats.org/officeDocument/2006/relationships/styles" Target="styles.xml"/><Relationship Id="rId6" Type="http://schemas.openxmlformats.org/officeDocument/2006/relationships/hyperlink" Target="https://ipogenie.ai/" TargetMode="External"/><Relationship Id="rId7" Type="http://schemas.openxmlformats.org/officeDocument/2006/relationships/image" Target="media/image1.jpg"/><Relationship Id="rId8" Type="http://schemas.openxmlformats.org/officeDocument/2006/relationships/hyperlink" Target="https://ipogeni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