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4"/>
          <w:szCs w:val="24"/>
        </w:rPr>
      </w:pPr>
      <w:r w:rsidDel="00000000" w:rsidR="00000000" w:rsidRPr="00000000">
        <w:rPr>
          <w:b w:val="1"/>
          <w:sz w:val="24"/>
          <w:szCs w:val="24"/>
          <w:rtl w:val="0"/>
        </w:rPr>
        <w:t xml:space="preserve">Meta Title:</w:t>
      </w:r>
      <w:r w:rsidDel="00000000" w:rsidR="00000000" w:rsidRPr="00000000">
        <w:rPr>
          <w:sz w:val="24"/>
          <w:szCs w:val="24"/>
          <w:rtl w:val="0"/>
        </w:rPr>
        <w:t xml:space="preserve"> $IPO Presale Opens Amid $10T STO Boom &amp; Tokenization Trend</w:t>
      </w:r>
    </w:p>
    <w:p w:rsidR="00000000" w:rsidDel="00000000" w:rsidP="00000000" w:rsidRDefault="00000000" w:rsidRPr="00000000" w14:paraId="00000002">
      <w:pPr>
        <w:spacing w:after="240" w:before="240" w:lineRule="auto"/>
        <w:rPr>
          <w:sz w:val="24"/>
          <w:szCs w:val="24"/>
        </w:rPr>
      </w:pPr>
      <w:r w:rsidDel="00000000" w:rsidR="00000000" w:rsidRPr="00000000">
        <w:rPr>
          <w:b w:val="1"/>
          <w:sz w:val="24"/>
          <w:szCs w:val="24"/>
          <w:rtl w:val="0"/>
        </w:rPr>
        <w:t xml:space="preserve">Meta Description:</w:t>
      </w:r>
      <w:r w:rsidDel="00000000" w:rsidR="00000000" w:rsidRPr="00000000">
        <w:rPr>
          <w:sz w:val="24"/>
          <w:szCs w:val="24"/>
          <w:rtl w:val="0"/>
        </w:rPr>
        <w:t xml:space="preserve"> Explore IPO Genie ($IPO) presale’s upcoming launch, offering compliant, AI-powered access to tokenized private markets as STOs eye $10 trillion by 2030.</w:t>
      </w:r>
    </w:p>
    <w:p w:rsidR="00000000" w:rsidDel="00000000" w:rsidP="00000000" w:rsidRDefault="00000000" w:rsidRPr="00000000" w14:paraId="00000003">
      <w:pPr>
        <w:pStyle w:val="Heading1"/>
        <w:rPr/>
      </w:pPr>
      <w:bookmarkStart w:colFirst="0" w:colLast="0" w:name="_z0qdg3m3yv6q" w:id="0"/>
      <w:bookmarkEnd w:id="0"/>
      <w:r w:rsidDel="00000000" w:rsidR="00000000" w:rsidRPr="00000000">
        <w:rPr>
          <w:rtl w:val="0"/>
        </w:rPr>
        <w:t xml:space="preserve">Coming Soon: $IPO Presale Opens Amid $10T STO Boom &amp; Tokenization Trend</w:t>
      </w:r>
    </w:p>
    <w:p w:rsidR="00000000" w:rsidDel="00000000" w:rsidP="00000000" w:rsidRDefault="00000000" w:rsidRPr="00000000" w14:paraId="00000004">
      <w:pPr>
        <w:rPr/>
      </w:pPr>
      <w:hyperlink r:id="rId6">
        <w:r w:rsidDel="00000000" w:rsidR="00000000" w:rsidRPr="00000000">
          <w:rPr>
            <w:color w:val="1155cc"/>
            <w:u w:val="single"/>
          </w:rPr>
          <w:drawing>
            <wp:inline distB="114300" distT="114300" distL="114300" distR="114300">
              <wp:extent cx="5943600" cy="39624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39624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5">
      <w:pPr>
        <w:pStyle w:val="Heading2"/>
        <w:keepNext w:val="0"/>
        <w:keepLines w:val="0"/>
        <w:spacing w:before="280" w:lineRule="auto"/>
        <w:rPr/>
      </w:pPr>
      <w:bookmarkStart w:colFirst="0" w:colLast="0" w:name="_b24d087hwani" w:id="1"/>
      <w:bookmarkEnd w:id="1"/>
      <w:r w:rsidDel="00000000" w:rsidR="00000000" w:rsidRPr="00000000">
        <w:rPr>
          <w:rtl w:val="0"/>
        </w:rPr>
        <w:t xml:space="preserve">The Rise of Tokenization in 2025</w:t>
      </w:r>
    </w:p>
    <w:p w:rsidR="00000000" w:rsidDel="00000000" w:rsidP="00000000" w:rsidRDefault="00000000" w:rsidRPr="00000000" w14:paraId="00000006">
      <w:pPr>
        <w:spacing w:after="240" w:before="240" w:lineRule="auto"/>
        <w:rPr>
          <w:sz w:val="24"/>
          <w:szCs w:val="24"/>
        </w:rPr>
      </w:pPr>
      <w:r w:rsidDel="00000000" w:rsidR="00000000" w:rsidRPr="00000000">
        <w:rPr>
          <w:sz w:val="24"/>
          <w:szCs w:val="24"/>
          <w:rtl w:val="0"/>
        </w:rPr>
        <w:t xml:space="preserve">Global finance is entering a historic shift. Tokenization has moved from experimental pilots to mainstream adoption. McKinsey projects the </w:t>
      </w:r>
      <w:hyperlink r:id="rId8">
        <w:r w:rsidDel="00000000" w:rsidR="00000000" w:rsidRPr="00000000">
          <w:rPr>
            <w:color w:val="1155cc"/>
            <w:sz w:val="24"/>
            <w:szCs w:val="24"/>
            <w:u w:val="single"/>
            <w:rtl w:val="0"/>
          </w:rPr>
          <w:t xml:space="preserve">Security Token Offering (STO) </w:t>
        </w:r>
      </w:hyperlink>
      <w:r w:rsidDel="00000000" w:rsidR="00000000" w:rsidRPr="00000000">
        <w:rPr>
          <w:sz w:val="24"/>
          <w:szCs w:val="24"/>
          <w:rtl w:val="0"/>
        </w:rPr>
        <w:t xml:space="preserve">market could reach </w:t>
      </w:r>
      <w:r w:rsidDel="00000000" w:rsidR="00000000" w:rsidRPr="00000000">
        <w:rPr>
          <w:b w:val="1"/>
          <w:sz w:val="24"/>
          <w:szCs w:val="24"/>
          <w:rtl w:val="0"/>
        </w:rPr>
        <w:t xml:space="preserve">$10 trillion by 2030</w:t>
      </w:r>
      <w:r w:rsidDel="00000000" w:rsidR="00000000" w:rsidRPr="00000000">
        <w:rPr>
          <w:sz w:val="24"/>
          <w:szCs w:val="24"/>
          <w:rtl w:val="0"/>
        </w:rPr>
        <w:t xml:space="preserve">, with private equity, real estate, and venture capital leading the charge. This boom reflects growing investor appetite for compliant, liquid access to traditionally illiquid markets.</w:t>
      </w:r>
    </w:p>
    <w:p w:rsidR="00000000" w:rsidDel="00000000" w:rsidP="00000000" w:rsidRDefault="00000000" w:rsidRPr="00000000" w14:paraId="00000007">
      <w:pPr>
        <w:spacing w:after="240" w:before="240" w:lineRule="auto"/>
        <w:rPr>
          <w:sz w:val="24"/>
          <w:szCs w:val="24"/>
        </w:rPr>
      </w:pPr>
      <w:r w:rsidDel="00000000" w:rsidR="00000000" w:rsidRPr="00000000">
        <w:rPr>
          <w:sz w:val="24"/>
          <w:szCs w:val="24"/>
          <w:rtl w:val="0"/>
        </w:rPr>
        <w:t xml:space="preserve">IPO Genie ($IPO)</w:t>
      </w:r>
      <w:r w:rsidDel="00000000" w:rsidR="00000000" w:rsidRPr="00000000">
        <w:rPr>
          <w:sz w:val="24"/>
          <w:szCs w:val="24"/>
          <w:rtl w:val="0"/>
        </w:rPr>
        <w:t xml:space="preserve"> positions itself as a first-mover in this landscape. Its upcoming presale provides early entry into a platform built for the next wave of wealth creation: tokenized private markets backed by real assets, AI discovery, and institutional-grade infrastructure.</w:t>
      </w:r>
    </w:p>
    <w:p w:rsidR="00000000" w:rsidDel="00000000" w:rsidP="00000000" w:rsidRDefault="00000000" w:rsidRPr="00000000" w14:paraId="00000008">
      <w:pPr>
        <w:pStyle w:val="Heading2"/>
        <w:keepNext w:val="0"/>
        <w:keepLines w:val="0"/>
        <w:spacing w:before="280" w:lineRule="auto"/>
        <w:rPr/>
      </w:pPr>
      <w:bookmarkStart w:colFirst="0" w:colLast="0" w:name="_e30vs8x8rby" w:id="2"/>
      <w:bookmarkEnd w:id="2"/>
      <w:r w:rsidDel="00000000" w:rsidR="00000000" w:rsidRPr="00000000">
        <w:rPr>
          <w:rtl w:val="0"/>
        </w:rPr>
        <w:t xml:space="preserve">Why the $IPO Presale Matters Now</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Most retail investors are still locked out of the $3 trillion private capital market, where early investments in companies like Uber, Coinbase, or Airbnb generated billions for insiders. High buy-ins, legal hurdles, and insider networks have created a wealth gap that blockchain technology can finally close.</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The </w:t>
      </w:r>
      <w:r w:rsidDel="00000000" w:rsidR="00000000" w:rsidRPr="00000000">
        <w:rPr>
          <w:b w:val="1"/>
          <w:sz w:val="24"/>
          <w:szCs w:val="24"/>
          <w:rtl w:val="0"/>
        </w:rPr>
        <w:t xml:space="preserve">$IPO presale</w:t>
      </w:r>
      <w:r w:rsidDel="00000000" w:rsidR="00000000" w:rsidRPr="00000000">
        <w:rPr>
          <w:sz w:val="24"/>
          <w:szCs w:val="24"/>
          <w:rtl w:val="0"/>
        </w:rPr>
        <w:t xml:space="preserve"> is designed to democratize this access. Early participants gain priority access to tokenized pre-IPO deals, curated venture opportunities, and diversified exposure through upcoming </w:t>
      </w:r>
      <w:hyperlink r:id="rId9">
        <w:r w:rsidDel="00000000" w:rsidR="00000000" w:rsidRPr="00000000">
          <w:rPr>
            <w:b w:val="1"/>
            <w:color w:val="1155cc"/>
            <w:sz w:val="24"/>
            <w:szCs w:val="24"/>
            <w:u w:val="single"/>
            <w:rtl w:val="0"/>
          </w:rPr>
          <w:t xml:space="preserve">IPO Genie Index Funds</w:t>
        </w:r>
      </w:hyperlink>
      <w:r w:rsidDel="00000000" w:rsidR="00000000" w:rsidRPr="00000000">
        <w:rPr>
          <w:sz w:val="24"/>
          <w:szCs w:val="24"/>
          <w:rtl w:val="0"/>
        </w:rPr>
        <w:t xml:space="preserve">. Unlike speculative meme coins, $IPO provides tangible pathways to institutional-grade investments.</w:t>
      </w:r>
    </w:p>
    <w:p w:rsidR="00000000" w:rsidDel="00000000" w:rsidP="00000000" w:rsidRDefault="00000000" w:rsidRPr="00000000" w14:paraId="0000000B">
      <w:pPr>
        <w:pStyle w:val="Heading2"/>
        <w:keepNext w:val="0"/>
        <w:keepLines w:val="0"/>
        <w:spacing w:before="280" w:lineRule="auto"/>
        <w:rPr/>
      </w:pPr>
      <w:bookmarkStart w:colFirst="0" w:colLast="0" w:name="_lcn6dqk9goi4" w:id="3"/>
      <w:bookmarkEnd w:id="3"/>
      <w:r w:rsidDel="00000000" w:rsidR="00000000" w:rsidRPr="00000000">
        <w:rPr>
          <w:rtl w:val="0"/>
        </w:rPr>
        <w:t xml:space="preserve">STO Boom Meets Retail Access</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The timing couldn’t be better. While meme coins shed </w:t>
      </w:r>
      <w:r w:rsidDel="00000000" w:rsidR="00000000" w:rsidRPr="00000000">
        <w:rPr>
          <w:b w:val="1"/>
          <w:sz w:val="24"/>
          <w:szCs w:val="24"/>
          <w:rtl w:val="0"/>
        </w:rPr>
        <w:t xml:space="preserve">over $40 billion in value in 2025</w:t>
      </w:r>
      <w:r w:rsidDel="00000000" w:rsidR="00000000" w:rsidRPr="00000000">
        <w:rPr>
          <w:sz w:val="24"/>
          <w:szCs w:val="24"/>
          <w:rtl w:val="0"/>
        </w:rPr>
        <w:t xml:space="preserve">, investor focus is pivoting to tokens with real utility and compliance baked in. Institutional players are already entering STO markets, with traditional funds and hedge groups piloting tokenized products. Retail investors, however, have been left behind until now.</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IPO Genie bridges that gap by combining:</w:t>
      </w:r>
    </w:p>
    <w:p w:rsidR="00000000" w:rsidDel="00000000" w:rsidP="00000000" w:rsidRDefault="00000000" w:rsidRPr="00000000" w14:paraId="0000000E">
      <w:pPr>
        <w:numPr>
          <w:ilvl w:val="0"/>
          <w:numId w:val="2"/>
        </w:numPr>
        <w:spacing w:after="0" w:afterAutospacing="0" w:before="240" w:lineRule="auto"/>
        <w:ind w:left="720" w:hanging="360"/>
        <w:rPr>
          <w:sz w:val="24"/>
          <w:szCs w:val="24"/>
        </w:rPr>
      </w:pPr>
      <w:r w:rsidDel="00000000" w:rsidR="00000000" w:rsidRPr="00000000">
        <w:rPr>
          <w:b w:val="1"/>
          <w:sz w:val="24"/>
          <w:szCs w:val="24"/>
          <w:rtl w:val="0"/>
        </w:rPr>
        <w:t xml:space="preserve">Regulated STO framework</w:t>
      </w:r>
      <w:r w:rsidDel="00000000" w:rsidR="00000000" w:rsidRPr="00000000">
        <w:rPr>
          <w:sz w:val="24"/>
          <w:szCs w:val="24"/>
          <w:rtl w:val="0"/>
        </w:rPr>
        <w:t xml:space="preserve"> with full KYC/AML compliance</w:t>
      </w:r>
    </w:p>
    <w:p w:rsidR="00000000" w:rsidDel="00000000" w:rsidP="00000000" w:rsidRDefault="00000000" w:rsidRPr="00000000" w14:paraId="0000000F">
      <w:pPr>
        <w:numPr>
          <w:ilvl w:val="0"/>
          <w:numId w:val="2"/>
        </w:numPr>
        <w:spacing w:after="0" w:afterAutospacing="0" w:before="0" w:beforeAutospacing="0" w:lineRule="auto"/>
        <w:ind w:left="720" w:hanging="360"/>
        <w:rPr>
          <w:sz w:val="24"/>
          <w:szCs w:val="24"/>
        </w:rPr>
      </w:pPr>
      <w:r w:rsidDel="00000000" w:rsidR="00000000" w:rsidRPr="00000000">
        <w:rPr>
          <w:b w:val="1"/>
          <w:sz w:val="24"/>
          <w:szCs w:val="24"/>
          <w:rtl w:val="0"/>
        </w:rPr>
        <w:t xml:space="preserve">CertiK-audited smart contracts</w:t>
      </w:r>
      <w:r w:rsidDel="00000000" w:rsidR="00000000" w:rsidRPr="00000000">
        <w:rPr>
          <w:sz w:val="24"/>
          <w:szCs w:val="24"/>
          <w:rtl w:val="0"/>
        </w:rPr>
        <w:t xml:space="preserve"> for security and transparency</w:t>
      </w:r>
    </w:p>
    <w:p w:rsidR="00000000" w:rsidDel="00000000" w:rsidP="00000000" w:rsidRDefault="00000000" w:rsidRPr="00000000" w14:paraId="00000010">
      <w:pPr>
        <w:numPr>
          <w:ilvl w:val="0"/>
          <w:numId w:val="2"/>
        </w:numPr>
        <w:spacing w:after="0" w:afterAutospacing="0" w:before="0" w:beforeAutospacing="0" w:lineRule="auto"/>
        <w:ind w:left="720" w:hanging="360"/>
        <w:rPr>
          <w:sz w:val="24"/>
          <w:szCs w:val="24"/>
        </w:rPr>
      </w:pPr>
      <w:r w:rsidDel="00000000" w:rsidR="00000000" w:rsidRPr="00000000">
        <w:rPr>
          <w:b w:val="1"/>
          <w:sz w:val="24"/>
          <w:szCs w:val="24"/>
          <w:rtl w:val="0"/>
        </w:rPr>
        <w:t xml:space="preserve">Fireblocks custody</w:t>
      </w:r>
      <w:r w:rsidDel="00000000" w:rsidR="00000000" w:rsidRPr="00000000">
        <w:rPr>
          <w:sz w:val="24"/>
          <w:szCs w:val="24"/>
          <w:rtl w:val="0"/>
        </w:rPr>
        <w:t xml:space="preserve"> for institutional-grade asset protection</w:t>
      </w:r>
    </w:p>
    <w:p w:rsidR="00000000" w:rsidDel="00000000" w:rsidP="00000000" w:rsidRDefault="00000000" w:rsidRPr="00000000" w14:paraId="00000011">
      <w:pPr>
        <w:numPr>
          <w:ilvl w:val="0"/>
          <w:numId w:val="2"/>
        </w:numPr>
        <w:spacing w:after="240" w:before="0" w:beforeAutospacing="0" w:lineRule="auto"/>
        <w:ind w:left="720" w:hanging="360"/>
        <w:rPr>
          <w:sz w:val="24"/>
          <w:szCs w:val="24"/>
        </w:rPr>
      </w:pPr>
      <w:r w:rsidDel="00000000" w:rsidR="00000000" w:rsidRPr="00000000">
        <w:rPr>
          <w:b w:val="1"/>
          <w:sz w:val="24"/>
          <w:szCs w:val="24"/>
          <w:rtl w:val="0"/>
        </w:rPr>
        <w:t xml:space="preserve">Chainlink oracles</w:t>
      </w:r>
      <w:r w:rsidDel="00000000" w:rsidR="00000000" w:rsidRPr="00000000">
        <w:rPr>
          <w:sz w:val="24"/>
          <w:szCs w:val="24"/>
          <w:rtl w:val="0"/>
        </w:rPr>
        <w:t xml:space="preserve"> feed real-time performance data into the blockchain</w:t>
      </w:r>
    </w:p>
    <w:p w:rsidR="00000000" w:rsidDel="00000000" w:rsidP="00000000" w:rsidRDefault="00000000" w:rsidRPr="00000000" w14:paraId="00000012">
      <w:pPr>
        <w:spacing w:after="240" w:before="240" w:lineRule="auto"/>
        <w:rPr>
          <w:sz w:val="24"/>
          <w:szCs w:val="24"/>
        </w:rPr>
      </w:pPr>
      <w:r w:rsidDel="00000000" w:rsidR="00000000" w:rsidRPr="00000000">
        <w:rPr>
          <w:sz w:val="24"/>
          <w:szCs w:val="24"/>
          <w:rtl w:val="0"/>
        </w:rPr>
        <w:t xml:space="preserve">This technical and regulatory foundation positions IPO Genie as a trusted entry point into the tokenization boom.</w:t>
      </w:r>
    </w:p>
    <w:p w:rsidR="00000000" w:rsidDel="00000000" w:rsidP="00000000" w:rsidRDefault="00000000" w:rsidRPr="00000000" w14:paraId="00000013">
      <w:pPr>
        <w:pStyle w:val="Heading2"/>
        <w:keepNext w:val="0"/>
        <w:keepLines w:val="0"/>
        <w:spacing w:before="280" w:lineRule="auto"/>
        <w:rPr/>
      </w:pPr>
      <w:bookmarkStart w:colFirst="0" w:colLast="0" w:name="_a8ggpdffe5wa" w:id="4"/>
      <w:bookmarkEnd w:id="4"/>
      <w:r w:rsidDel="00000000" w:rsidR="00000000" w:rsidRPr="00000000">
        <w:rPr>
          <w:rtl w:val="0"/>
        </w:rPr>
        <w:t xml:space="preserve">Tiered Access That Rewards Participation</w:t>
      </w:r>
    </w:p>
    <w:p w:rsidR="00000000" w:rsidDel="00000000" w:rsidP="00000000" w:rsidRDefault="00000000" w:rsidRPr="00000000" w14:paraId="00000014">
      <w:pPr>
        <w:spacing w:after="240" w:before="240" w:lineRule="auto"/>
        <w:rPr>
          <w:sz w:val="24"/>
          <w:szCs w:val="24"/>
        </w:rPr>
      </w:pPr>
      <w:r w:rsidDel="00000000" w:rsidR="00000000" w:rsidRPr="00000000">
        <w:rPr>
          <w:sz w:val="24"/>
          <w:szCs w:val="24"/>
          <w:rtl w:val="0"/>
        </w:rPr>
        <w:t xml:space="preserve">The $IPO token unlocks a four-tier access model:</w:t>
      </w:r>
    </w:p>
    <w:p w:rsidR="00000000" w:rsidDel="00000000" w:rsidP="00000000" w:rsidRDefault="00000000" w:rsidRPr="00000000" w14:paraId="00000015">
      <w:pPr>
        <w:numPr>
          <w:ilvl w:val="0"/>
          <w:numId w:val="3"/>
        </w:numPr>
        <w:spacing w:after="0" w:afterAutospacing="0" w:before="240" w:lineRule="auto"/>
        <w:ind w:left="720" w:hanging="360"/>
        <w:rPr>
          <w:sz w:val="24"/>
          <w:szCs w:val="24"/>
        </w:rPr>
      </w:pPr>
      <w:r w:rsidDel="00000000" w:rsidR="00000000" w:rsidRPr="00000000">
        <w:rPr>
          <w:b w:val="1"/>
          <w:sz w:val="24"/>
          <w:szCs w:val="24"/>
          <w:rtl w:val="0"/>
        </w:rPr>
        <w:t xml:space="preserve">Bronze:</w:t>
      </w:r>
      <w:r w:rsidDel="00000000" w:rsidR="00000000" w:rsidRPr="00000000">
        <w:rPr>
          <w:sz w:val="24"/>
          <w:szCs w:val="24"/>
          <w:rtl w:val="0"/>
        </w:rPr>
        <w:t xml:space="preserve"> Entry-level deal access with a basic allocation of $IPO tokens.</w:t>
      </w:r>
    </w:p>
    <w:p w:rsidR="00000000" w:rsidDel="00000000" w:rsidP="00000000" w:rsidRDefault="00000000" w:rsidRPr="00000000" w14:paraId="00000016">
      <w:pPr>
        <w:numPr>
          <w:ilvl w:val="0"/>
          <w:numId w:val="3"/>
        </w:numPr>
        <w:spacing w:after="0" w:afterAutospacing="0" w:before="0" w:beforeAutospacing="0" w:lineRule="auto"/>
        <w:ind w:left="720" w:hanging="360"/>
        <w:rPr>
          <w:sz w:val="24"/>
          <w:szCs w:val="24"/>
        </w:rPr>
      </w:pPr>
      <w:r w:rsidDel="00000000" w:rsidR="00000000" w:rsidRPr="00000000">
        <w:rPr>
          <w:b w:val="1"/>
          <w:sz w:val="24"/>
          <w:szCs w:val="24"/>
          <w:rtl w:val="0"/>
        </w:rPr>
        <w:t xml:space="preserve">Silver:</w:t>
      </w:r>
      <w:r w:rsidDel="00000000" w:rsidR="00000000" w:rsidRPr="00000000">
        <w:rPr>
          <w:sz w:val="24"/>
          <w:szCs w:val="24"/>
          <w:rtl w:val="0"/>
        </w:rPr>
        <w:t xml:space="preserve"> Grants priority allocations for participants seeking more opportunities.</w:t>
      </w:r>
    </w:p>
    <w:p w:rsidR="00000000" w:rsidDel="00000000" w:rsidP="00000000" w:rsidRDefault="00000000" w:rsidRPr="00000000" w14:paraId="00000017">
      <w:pPr>
        <w:numPr>
          <w:ilvl w:val="0"/>
          <w:numId w:val="3"/>
        </w:numPr>
        <w:spacing w:after="0" w:afterAutospacing="0" w:before="0" w:beforeAutospacing="0" w:lineRule="auto"/>
        <w:ind w:left="720" w:hanging="360"/>
        <w:rPr>
          <w:sz w:val="24"/>
          <w:szCs w:val="24"/>
        </w:rPr>
      </w:pPr>
      <w:r w:rsidDel="00000000" w:rsidR="00000000" w:rsidRPr="00000000">
        <w:rPr>
          <w:b w:val="1"/>
          <w:sz w:val="24"/>
          <w:szCs w:val="24"/>
          <w:rtl w:val="0"/>
        </w:rPr>
        <w:t xml:space="preserve">Gold:</w:t>
      </w:r>
      <w:r w:rsidDel="00000000" w:rsidR="00000000" w:rsidRPr="00000000">
        <w:rPr>
          <w:sz w:val="24"/>
          <w:szCs w:val="24"/>
          <w:rtl w:val="0"/>
        </w:rPr>
        <w:t xml:space="preserve"> Includes founder briefings and deeper project insights.</w:t>
      </w:r>
    </w:p>
    <w:p w:rsidR="00000000" w:rsidDel="00000000" w:rsidP="00000000" w:rsidRDefault="00000000" w:rsidRPr="00000000" w14:paraId="00000018">
      <w:pPr>
        <w:numPr>
          <w:ilvl w:val="0"/>
          <w:numId w:val="3"/>
        </w:numPr>
        <w:spacing w:after="240" w:before="0" w:beforeAutospacing="0" w:lineRule="auto"/>
        <w:ind w:left="720" w:hanging="360"/>
        <w:rPr>
          <w:sz w:val="24"/>
          <w:szCs w:val="24"/>
        </w:rPr>
      </w:pPr>
      <w:r w:rsidDel="00000000" w:rsidR="00000000" w:rsidRPr="00000000">
        <w:rPr>
          <w:b w:val="1"/>
          <w:sz w:val="24"/>
          <w:szCs w:val="24"/>
          <w:rtl w:val="0"/>
        </w:rPr>
        <w:t xml:space="preserve">Platinum:</w:t>
      </w:r>
      <w:r w:rsidDel="00000000" w:rsidR="00000000" w:rsidRPr="00000000">
        <w:rPr>
          <w:sz w:val="24"/>
          <w:szCs w:val="24"/>
          <w:rtl w:val="0"/>
        </w:rPr>
        <w:t xml:space="preserve"> Unlocks co-investment rights alongside institutional players.</w:t>
      </w:r>
      <w:r w:rsidDel="00000000" w:rsidR="00000000" w:rsidRPr="00000000">
        <w:rPr>
          <w:rtl w:val="0"/>
        </w:rPr>
      </w:r>
    </w:p>
    <w:p w:rsidR="00000000" w:rsidDel="00000000" w:rsidP="00000000" w:rsidRDefault="00000000" w:rsidRPr="00000000" w14:paraId="00000019">
      <w:pPr>
        <w:spacing w:after="240" w:before="240" w:lineRule="auto"/>
        <w:rPr>
          <w:sz w:val="24"/>
          <w:szCs w:val="24"/>
        </w:rPr>
      </w:pPr>
      <w:r w:rsidDel="00000000" w:rsidR="00000000" w:rsidRPr="00000000">
        <w:rPr>
          <w:sz w:val="24"/>
          <w:szCs w:val="24"/>
          <w:rtl w:val="0"/>
        </w:rPr>
        <w:t xml:space="preserve">This structure not only incentivizes accumulation but also builds natural scarcity. Combined with deflationary tokenomics, staking rewards, and revenue sharing, early presale participants secure benefits well beyond price appreciation.</w:t>
      </w:r>
    </w:p>
    <w:p w:rsidR="00000000" w:rsidDel="00000000" w:rsidP="00000000" w:rsidRDefault="00000000" w:rsidRPr="00000000" w14:paraId="0000001A">
      <w:pPr>
        <w:pStyle w:val="Heading2"/>
        <w:keepNext w:val="0"/>
        <w:keepLines w:val="0"/>
        <w:spacing w:before="280" w:lineRule="auto"/>
        <w:rPr>
          <w:b w:val="1"/>
        </w:rPr>
      </w:pPr>
      <w:bookmarkStart w:colFirst="0" w:colLast="0" w:name="_jvxjdnz4w9hu" w:id="5"/>
      <w:bookmarkEnd w:id="5"/>
      <w:r w:rsidDel="00000000" w:rsidR="00000000" w:rsidRPr="00000000">
        <w:rPr>
          <w:b w:val="1"/>
          <w:rtl w:val="0"/>
        </w:rPr>
        <w:t xml:space="preserve">Competitive Advantage: Feature-First, Not Hype-First</w:t>
      </w:r>
    </w:p>
    <w:p w:rsidR="00000000" w:rsidDel="00000000" w:rsidP="00000000" w:rsidRDefault="00000000" w:rsidRPr="00000000" w14:paraId="0000001B">
      <w:pPr>
        <w:spacing w:after="240" w:before="240" w:lineRule="auto"/>
        <w:rPr>
          <w:sz w:val="24"/>
          <w:szCs w:val="24"/>
        </w:rPr>
      </w:pPr>
      <w:r w:rsidDel="00000000" w:rsidR="00000000" w:rsidRPr="00000000">
        <w:rPr>
          <w:sz w:val="24"/>
          <w:szCs w:val="24"/>
          <w:rtl w:val="0"/>
        </w:rPr>
        <w:t xml:space="preserve">Other tokenization platforms, like Securitize, Tokeny, or Polymath, address specific pieces of the STO puzzle, whether compliance, infrastructure, or marketplaces. IPO Genie integrates all of these into a single ecosystem.</w:t>
      </w:r>
    </w:p>
    <w:p w:rsidR="00000000" w:rsidDel="00000000" w:rsidP="00000000" w:rsidRDefault="00000000" w:rsidRPr="00000000" w14:paraId="0000001C">
      <w:pPr>
        <w:numPr>
          <w:ilvl w:val="0"/>
          <w:numId w:val="1"/>
        </w:numPr>
        <w:spacing w:after="0" w:afterAutospacing="0" w:before="240" w:lineRule="auto"/>
        <w:ind w:left="720" w:hanging="360"/>
        <w:rPr>
          <w:sz w:val="24"/>
          <w:szCs w:val="24"/>
        </w:rPr>
      </w:pPr>
      <w:r w:rsidDel="00000000" w:rsidR="00000000" w:rsidRPr="00000000">
        <w:rPr>
          <w:b w:val="1"/>
          <w:sz w:val="24"/>
          <w:szCs w:val="24"/>
          <w:rtl w:val="0"/>
        </w:rPr>
        <w:t xml:space="preserve">AI-powered deal discovery</w:t>
      </w:r>
      <w:r w:rsidDel="00000000" w:rsidR="00000000" w:rsidRPr="00000000">
        <w:rPr>
          <w:sz w:val="24"/>
          <w:szCs w:val="24"/>
          <w:rtl w:val="0"/>
        </w:rPr>
        <w:t xml:space="preserve"> identifies high-growth startups early.</w:t>
      </w:r>
    </w:p>
    <w:p w:rsidR="00000000" w:rsidDel="00000000" w:rsidP="00000000" w:rsidRDefault="00000000" w:rsidRPr="00000000" w14:paraId="0000001D">
      <w:pPr>
        <w:numPr>
          <w:ilvl w:val="0"/>
          <w:numId w:val="1"/>
        </w:numPr>
        <w:spacing w:after="0" w:afterAutospacing="0" w:before="0" w:beforeAutospacing="0" w:lineRule="auto"/>
        <w:ind w:left="720" w:hanging="360"/>
        <w:rPr>
          <w:sz w:val="24"/>
          <w:szCs w:val="24"/>
        </w:rPr>
      </w:pPr>
      <w:r w:rsidDel="00000000" w:rsidR="00000000" w:rsidRPr="00000000">
        <w:rPr>
          <w:b w:val="1"/>
          <w:sz w:val="24"/>
          <w:szCs w:val="24"/>
          <w:rtl w:val="0"/>
        </w:rPr>
        <w:t xml:space="preserve">IPO Genie Index Funds</w:t>
      </w:r>
      <w:r w:rsidDel="00000000" w:rsidR="00000000" w:rsidRPr="00000000">
        <w:rPr>
          <w:sz w:val="24"/>
          <w:szCs w:val="24"/>
          <w:rtl w:val="0"/>
        </w:rPr>
        <w:t xml:space="preserve"> diversify exposure across vetted deals.</w:t>
      </w:r>
    </w:p>
    <w:p w:rsidR="00000000" w:rsidDel="00000000" w:rsidP="00000000" w:rsidRDefault="00000000" w:rsidRPr="00000000" w14:paraId="0000001E">
      <w:pPr>
        <w:numPr>
          <w:ilvl w:val="0"/>
          <w:numId w:val="1"/>
        </w:numPr>
        <w:spacing w:after="0" w:afterAutospacing="0" w:before="0" w:beforeAutospacing="0" w:lineRule="auto"/>
        <w:ind w:left="720" w:hanging="360"/>
        <w:rPr>
          <w:sz w:val="24"/>
          <w:szCs w:val="24"/>
        </w:rPr>
      </w:pPr>
      <w:r w:rsidDel="00000000" w:rsidR="00000000" w:rsidRPr="00000000">
        <w:rPr>
          <w:b w:val="1"/>
          <w:sz w:val="24"/>
          <w:szCs w:val="24"/>
          <w:rtl w:val="0"/>
        </w:rPr>
        <w:t xml:space="preserve">DAO governance</w:t>
      </w:r>
      <w:r w:rsidDel="00000000" w:rsidR="00000000" w:rsidRPr="00000000">
        <w:rPr>
          <w:sz w:val="24"/>
          <w:szCs w:val="24"/>
          <w:rtl w:val="0"/>
        </w:rPr>
        <w:t xml:space="preserve"> ensures token holders influence platform strategy.</w:t>
      </w:r>
    </w:p>
    <w:p w:rsidR="00000000" w:rsidDel="00000000" w:rsidP="00000000" w:rsidRDefault="00000000" w:rsidRPr="00000000" w14:paraId="0000001F">
      <w:pPr>
        <w:numPr>
          <w:ilvl w:val="0"/>
          <w:numId w:val="1"/>
        </w:numPr>
        <w:spacing w:after="240" w:before="0" w:beforeAutospacing="0" w:lineRule="auto"/>
        <w:ind w:left="720" w:hanging="360"/>
        <w:rPr>
          <w:sz w:val="24"/>
          <w:szCs w:val="24"/>
        </w:rPr>
      </w:pPr>
      <w:r w:rsidDel="00000000" w:rsidR="00000000" w:rsidRPr="00000000">
        <w:rPr>
          <w:b w:val="1"/>
          <w:sz w:val="24"/>
          <w:szCs w:val="24"/>
          <w:rtl w:val="0"/>
        </w:rPr>
        <w:t xml:space="preserve">Insurance vaults</w:t>
      </w:r>
      <w:r w:rsidDel="00000000" w:rsidR="00000000" w:rsidRPr="00000000">
        <w:rPr>
          <w:sz w:val="24"/>
          <w:szCs w:val="24"/>
          <w:rtl w:val="0"/>
        </w:rPr>
        <w:t xml:space="preserve"> mitigate specific risks for select deals.</w:t>
      </w:r>
    </w:p>
    <w:p w:rsidR="00000000" w:rsidDel="00000000" w:rsidP="00000000" w:rsidRDefault="00000000" w:rsidRPr="00000000" w14:paraId="00000020">
      <w:pPr>
        <w:spacing w:after="240" w:before="240" w:lineRule="auto"/>
        <w:rPr>
          <w:sz w:val="24"/>
          <w:szCs w:val="24"/>
        </w:rPr>
      </w:pPr>
      <w:r w:rsidDel="00000000" w:rsidR="00000000" w:rsidRPr="00000000">
        <w:rPr>
          <w:sz w:val="24"/>
          <w:szCs w:val="24"/>
          <w:rtl w:val="0"/>
        </w:rPr>
        <w:t xml:space="preserve">This full-stack approach gives IPO Genie a competitive edge over hype-driven crypto presales that lack real-world anchoring.</w:t>
      </w:r>
    </w:p>
    <w:p w:rsidR="00000000" w:rsidDel="00000000" w:rsidP="00000000" w:rsidRDefault="00000000" w:rsidRPr="00000000" w14:paraId="00000021">
      <w:pPr>
        <w:pStyle w:val="Heading2"/>
        <w:keepNext w:val="0"/>
        <w:keepLines w:val="0"/>
        <w:spacing w:before="280" w:lineRule="auto"/>
        <w:rPr/>
      </w:pPr>
      <w:bookmarkStart w:colFirst="0" w:colLast="0" w:name="_8kyshj7kxsio" w:id="6"/>
      <w:bookmarkEnd w:id="6"/>
      <w:r w:rsidDel="00000000" w:rsidR="00000000" w:rsidRPr="00000000">
        <w:rPr>
          <w:rtl w:val="0"/>
        </w:rPr>
        <w:t xml:space="preserve">The Road Ahead: Expansion and Adoption</w:t>
      </w:r>
    </w:p>
    <w:p w:rsidR="00000000" w:rsidDel="00000000" w:rsidP="00000000" w:rsidRDefault="00000000" w:rsidRPr="00000000" w14:paraId="00000022">
      <w:pPr>
        <w:spacing w:after="240" w:before="240" w:lineRule="auto"/>
        <w:rPr>
          <w:sz w:val="24"/>
          <w:szCs w:val="24"/>
        </w:rPr>
      </w:pPr>
      <w:r w:rsidDel="00000000" w:rsidR="00000000" w:rsidRPr="00000000">
        <w:rPr>
          <w:sz w:val="24"/>
          <w:szCs w:val="24"/>
          <w:rtl w:val="0"/>
        </w:rPr>
        <w:t xml:space="preserve">IPO Genie’s roadmap lays out aggressive expansion:</w:t>
      </w:r>
    </w:p>
    <w:p w:rsidR="00000000" w:rsidDel="00000000" w:rsidP="00000000" w:rsidRDefault="00000000" w:rsidRPr="00000000" w14:paraId="00000023">
      <w:pPr>
        <w:numPr>
          <w:ilvl w:val="0"/>
          <w:numId w:val="4"/>
        </w:numPr>
        <w:spacing w:after="0" w:afterAutospacing="0" w:before="240" w:lineRule="auto"/>
        <w:ind w:left="720" w:hanging="360"/>
        <w:rPr>
          <w:sz w:val="24"/>
          <w:szCs w:val="24"/>
        </w:rPr>
      </w:pPr>
      <w:r w:rsidDel="00000000" w:rsidR="00000000" w:rsidRPr="00000000">
        <w:rPr>
          <w:b w:val="1"/>
          <w:sz w:val="24"/>
          <w:szCs w:val="24"/>
          <w:rtl w:val="0"/>
        </w:rPr>
        <w:t xml:space="preserve">Q4 2025:</w:t>
      </w:r>
      <w:r w:rsidDel="00000000" w:rsidR="00000000" w:rsidRPr="00000000">
        <w:rPr>
          <w:sz w:val="24"/>
          <w:szCs w:val="24"/>
          <w:rtl w:val="0"/>
        </w:rPr>
        <w:t xml:space="preserve"> Beta launch and first presale close</w:t>
      </w:r>
    </w:p>
    <w:p w:rsidR="00000000" w:rsidDel="00000000" w:rsidP="00000000" w:rsidRDefault="00000000" w:rsidRPr="00000000" w14:paraId="00000024">
      <w:pPr>
        <w:numPr>
          <w:ilvl w:val="0"/>
          <w:numId w:val="4"/>
        </w:numPr>
        <w:spacing w:after="0" w:afterAutospacing="0" w:before="0" w:beforeAutospacing="0" w:lineRule="auto"/>
        <w:ind w:left="720" w:hanging="360"/>
        <w:rPr>
          <w:sz w:val="24"/>
          <w:szCs w:val="24"/>
        </w:rPr>
      </w:pPr>
      <w:r w:rsidDel="00000000" w:rsidR="00000000" w:rsidRPr="00000000">
        <w:rPr>
          <w:b w:val="1"/>
          <w:sz w:val="24"/>
          <w:szCs w:val="24"/>
          <w:rtl w:val="0"/>
        </w:rPr>
        <w:t xml:space="preserve">Q1 2026:</w:t>
      </w:r>
      <w:r w:rsidDel="00000000" w:rsidR="00000000" w:rsidRPr="00000000">
        <w:rPr>
          <w:sz w:val="24"/>
          <w:szCs w:val="24"/>
          <w:rtl w:val="0"/>
        </w:rPr>
        <w:t xml:space="preserve"> Asia and MENA rollout, targeting crypto adoption hubs like Singapore and Dubai</w:t>
      </w:r>
    </w:p>
    <w:p w:rsidR="00000000" w:rsidDel="00000000" w:rsidP="00000000" w:rsidRDefault="00000000" w:rsidRPr="00000000" w14:paraId="00000025">
      <w:pPr>
        <w:numPr>
          <w:ilvl w:val="0"/>
          <w:numId w:val="4"/>
        </w:numPr>
        <w:spacing w:after="0" w:afterAutospacing="0" w:before="0" w:beforeAutospacing="0" w:lineRule="auto"/>
        <w:ind w:left="720" w:hanging="360"/>
        <w:rPr>
          <w:sz w:val="24"/>
          <w:szCs w:val="24"/>
        </w:rPr>
      </w:pPr>
      <w:r w:rsidDel="00000000" w:rsidR="00000000" w:rsidRPr="00000000">
        <w:rPr>
          <w:b w:val="1"/>
          <w:sz w:val="24"/>
          <w:szCs w:val="24"/>
          <w:rtl w:val="0"/>
        </w:rPr>
        <w:t xml:space="preserve">Q2 2026:</w:t>
      </w:r>
      <w:r w:rsidDel="00000000" w:rsidR="00000000" w:rsidRPr="00000000">
        <w:rPr>
          <w:sz w:val="24"/>
          <w:szCs w:val="24"/>
          <w:rtl w:val="0"/>
        </w:rPr>
        <w:t xml:space="preserve"> Launch of FIX Index Funds and AI dashboards</w:t>
      </w:r>
    </w:p>
    <w:p w:rsidR="00000000" w:rsidDel="00000000" w:rsidP="00000000" w:rsidRDefault="00000000" w:rsidRPr="00000000" w14:paraId="00000026">
      <w:pPr>
        <w:numPr>
          <w:ilvl w:val="0"/>
          <w:numId w:val="4"/>
        </w:numPr>
        <w:spacing w:after="240" w:before="0" w:beforeAutospacing="0" w:lineRule="auto"/>
        <w:ind w:left="720" w:hanging="360"/>
        <w:rPr>
          <w:sz w:val="24"/>
          <w:szCs w:val="24"/>
        </w:rPr>
      </w:pPr>
      <w:r w:rsidDel="00000000" w:rsidR="00000000" w:rsidRPr="00000000">
        <w:rPr>
          <w:b w:val="1"/>
          <w:sz w:val="24"/>
          <w:szCs w:val="24"/>
          <w:rtl w:val="0"/>
        </w:rPr>
        <w:t xml:space="preserve">2027:</w:t>
      </w:r>
      <w:r w:rsidDel="00000000" w:rsidR="00000000" w:rsidRPr="00000000">
        <w:rPr>
          <w:sz w:val="24"/>
          <w:szCs w:val="24"/>
          <w:rtl w:val="0"/>
        </w:rPr>
        <w:t xml:space="preserve"> Multi-chain expansion and white-label “Fund-as-a-Service” APIs</w:t>
        <w:br w:type="textWrapping"/>
      </w:r>
    </w:p>
    <w:p w:rsidR="00000000" w:rsidDel="00000000" w:rsidP="00000000" w:rsidRDefault="00000000" w:rsidRPr="00000000" w14:paraId="00000027">
      <w:pPr>
        <w:spacing w:after="240" w:before="240" w:lineRule="auto"/>
        <w:rPr>
          <w:sz w:val="24"/>
          <w:szCs w:val="24"/>
        </w:rPr>
      </w:pPr>
      <w:r w:rsidDel="00000000" w:rsidR="00000000" w:rsidRPr="00000000">
        <w:rPr>
          <w:sz w:val="24"/>
          <w:szCs w:val="24"/>
          <w:rtl w:val="0"/>
        </w:rPr>
        <w:t xml:space="preserve">Each milestone compounds utility, adoption, and liquidity—supporting long-term token value growth.</w:t>
      </w:r>
    </w:p>
    <w:p w:rsidR="00000000" w:rsidDel="00000000" w:rsidP="00000000" w:rsidRDefault="00000000" w:rsidRPr="00000000" w14:paraId="00000028">
      <w:pPr>
        <w:pStyle w:val="Heading2"/>
        <w:keepNext w:val="0"/>
        <w:keepLines w:val="0"/>
        <w:spacing w:before="280" w:lineRule="auto"/>
        <w:rPr>
          <w:b w:val="1"/>
        </w:rPr>
      </w:pPr>
      <w:bookmarkStart w:colFirst="0" w:colLast="0" w:name="_t5it22p5sau1" w:id="7"/>
      <w:bookmarkEnd w:id="7"/>
      <w:r w:rsidDel="00000000" w:rsidR="00000000" w:rsidRPr="00000000">
        <w:rPr>
          <w:b w:val="1"/>
          <w:rtl w:val="0"/>
        </w:rPr>
        <w:t xml:space="preserve">Don’t Miss Stage 1 Pricing</w:t>
      </w:r>
    </w:p>
    <w:p w:rsidR="00000000" w:rsidDel="00000000" w:rsidP="00000000" w:rsidRDefault="00000000" w:rsidRPr="00000000" w14:paraId="00000029">
      <w:pPr>
        <w:spacing w:after="240" w:before="240" w:lineRule="auto"/>
        <w:rPr>
          <w:sz w:val="24"/>
          <w:szCs w:val="24"/>
        </w:rPr>
      </w:pPr>
      <w:r w:rsidDel="00000000" w:rsidR="00000000" w:rsidRPr="00000000">
        <w:rPr>
          <w:sz w:val="24"/>
          <w:szCs w:val="24"/>
          <w:rtl w:val="0"/>
        </w:rPr>
        <w:t xml:space="preserve">With a limited </w:t>
      </w:r>
      <w:r w:rsidDel="00000000" w:rsidR="00000000" w:rsidRPr="00000000">
        <w:rPr>
          <w:b w:val="1"/>
          <w:sz w:val="24"/>
          <w:szCs w:val="24"/>
          <w:rtl w:val="0"/>
        </w:rPr>
        <w:t xml:space="preserve">token supply allocated to presale buyers</w:t>
      </w:r>
      <w:r w:rsidDel="00000000" w:rsidR="00000000" w:rsidRPr="00000000">
        <w:rPr>
          <w:sz w:val="24"/>
          <w:szCs w:val="24"/>
          <w:rtl w:val="0"/>
        </w:rPr>
        <w:t xml:space="preserve">, scarcity is built into the system. Early presale participants lock in at the lowest price before it rises in later stages. As STO adoption accelerates and $IPO utility expands, first-mover advantages could be significant.</w:t>
      </w:r>
    </w:p>
    <w:p w:rsidR="00000000" w:rsidDel="00000000" w:rsidP="00000000" w:rsidRDefault="00000000" w:rsidRPr="00000000" w14:paraId="0000002A">
      <w:pPr>
        <w:spacing w:after="240" w:before="240" w:lineRule="auto"/>
        <w:rPr>
          <w:sz w:val="24"/>
          <w:szCs w:val="24"/>
        </w:rPr>
      </w:pPr>
      <w:r w:rsidDel="00000000" w:rsidR="00000000" w:rsidRPr="00000000">
        <w:rPr>
          <w:sz w:val="24"/>
          <w:szCs w:val="24"/>
          <w:rtl w:val="0"/>
        </w:rPr>
        <w:t xml:space="preserve">The message is clear: while most tokens rely on hype and volatility, IPO Genie offers a rare chance to enter at the ground floor of a compliant, institutional-grade tokenization platform.</w:t>
      </w:r>
    </w:p>
    <w:p w:rsidR="00000000" w:rsidDel="00000000" w:rsidP="00000000" w:rsidRDefault="00000000" w:rsidRPr="00000000" w14:paraId="0000002B">
      <w:pPr>
        <w:pStyle w:val="Heading2"/>
        <w:keepNext w:val="0"/>
        <w:keepLines w:val="0"/>
        <w:spacing w:before="280" w:lineRule="auto"/>
        <w:rPr>
          <w:b w:val="1"/>
        </w:rPr>
      </w:pPr>
      <w:bookmarkStart w:colFirst="0" w:colLast="0" w:name="_10et1wv38f5i" w:id="8"/>
      <w:bookmarkEnd w:id="8"/>
      <w:r w:rsidDel="00000000" w:rsidR="00000000" w:rsidRPr="00000000">
        <w:rPr>
          <w:b w:val="1"/>
          <w:rtl w:val="0"/>
        </w:rPr>
        <w:t xml:space="preserve">Here’s Your $IPO Moment</w:t>
      </w:r>
    </w:p>
    <w:p w:rsidR="00000000" w:rsidDel="00000000" w:rsidP="00000000" w:rsidRDefault="00000000" w:rsidRPr="00000000" w14:paraId="0000002C">
      <w:pPr>
        <w:spacing w:after="240" w:before="240" w:lineRule="auto"/>
        <w:rPr>
          <w:sz w:val="24"/>
          <w:szCs w:val="24"/>
        </w:rPr>
      </w:pPr>
      <w:r w:rsidDel="00000000" w:rsidR="00000000" w:rsidRPr="00000000">
        <w:rPr>
          <w:sz w:val="24"/>
          <w:szCs w:val="24"/>
          <w:rtl w:val="0"/>
        </w:rPr>
        <w:t xml:space="preserve">As the </w:t>
      </w:r>
      <w:r w:rsidDel="00000000" w:rsidR="00000000" w:rsidRPr="00000000">
        <w:rPr>
          <w:b w:val="1"/>
          <w:sz w:val="24"/>
          <w:szCs w:val="24"/>
          <w:rtl w:val="0"/>
        </w:rPr>
        <w:t xml:space="preserve">$10 trillion STO wave</w:t>
      </w:r>
      <w:r w:rsidDel="00000000" w:rsidR="00000000" w:rsidRPr="00000000">
        <w:rPr>
          <w:sz w:val="24"/>
          <w:szCs w:val="24"/>
          <w:rtl w:val="0"/>
        </w:rPr>
        <w:t xml:space="preserve"> builds momentum, IPO Genie stands poised to transform how investors access private markets. With its AI-powered deal discovery, institutional partnerships, and global expansion plans, $IPO could define the next bull run not as a speculative frenzy but as a pivot toward sustainable, asset-backed wealth creation.</w:t>
      </w:r>
    </w:p>
    <w:p w:rsidR="00000000" w:rsidDel="00000000" w:rsidP="00000000" w:rsidRDefault="00000000" w:rsidRPr="00000000" w14:paraId="0000002D">
      <w:pPr>
        <w:spacing w:after="240" w:before="240" w:lineRule="auto"/>
        <w:rPr>
          <w:sz w:val="24"/>
          <w:szCs w:val="24"/>
        </w:rPr>
      </w:pPr>
      <w:hyperlink r:id="rId10">
        <w:r w:rsidDel="00000000" w:rsidR="00000000" w:rsidRPr="00000000">
          <w:rPr>
            <w:color w:val="1155cc"/>
            <w:sz w:val="24"/>
            <w:szCs w:val="24"/>
            <w:u w:val="single"/>
          </w:rPr>
          <w:drawing>
            <wp:inline distB="114300" distT="114300" distL="114300" distR="114300">
              <wp:extent cx="5943600" cy="787400"/>
              <wp:effectExtent b="0" l="0" r="0" t="0"/>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5943600" cy="7874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2E">
      <w:pPr>
        <w:spacing w:after="240" w:before="240" w:lineRule="auto"/>
        <w:rPr>
          <w:sz w:val="24"/>
          <w:szCs w:val="24"/>
        </w:rPr>
      </w:pPr>
      <w:r w:rsidDel="00000000" w:rsidR="00000000" w:rsidRPr="00000000">
        <w:rPr>
          <w:sz w:val="24"/>
          <w:szCs w:val="24"/>
          <w:rtl w:val="0"/>
        </w:rPr>
        <w:t xml:space="preserve">For more information about IPO Genie:</w:t>
      </w:r>
    </w:p>
    <w:p w:rsidR="00000000" w:rsidDel="00000000" w:rsidP="00000000" w:rsidRDefault="00000000" w:rsidRPr="00000000" w14:paraId="0000002F">
      <w:pPr>
        <w:spacing w:after="240" w:before="240" w:lineRule="auto"/>
        <w:rPr>
          <w:sz w:val="24"/>
          <w:szCs w:val="24"/>
        </w:rPr>
      </w:pPr>
      <w:hyperlink r:id="rId12">
        <w:r w:rsidDel="00000000" w:rsidR="00000000" w:rsidRPr="00000000">
          <w:rPr>
            <w:color w:val="1155cc"/>
            <w:sz w:val="24"/>
            <w:szCs w:val="24"/>
            <w:u w:val="single"/>
            <w:rtl w:val="0"/>
          </w:rPr>
          <w:t xml:space="preserve">Website URL</w:t>
        </w:r>
      </w:hyperlink>
      <w:r w:rsidDel="00000000" w:rsidR="00000000" w:rsidRPr="00000000">
        <w:rPr>
          <w:sz w:val="24"/>
          <w:szCs w:val="24"/>
          <w:rtl w:val="0"/>
        </w:rPr>
        <w:t xml:space="preserve"> | </w:t>
      </w:r>
      <w:hyperlink r:id="rId13">
        <w:r w:rsidDel="00000000" w:rsidR="00000000" w:rsidRPr="00000000">
          <w:rPr>
            <w:color w:val="1155cc"/>
            <w:sz w:val="24"/>
            <w:szCs w:val="24"/>
            <w:u w:val="single"/>
            <w:rtl w:val="0"/>
          </w:rPr>
          <w:t xml:space="preserve">X (Twitter)</w:t>
        </w:r>
      </w:hyperlink>
      <w:r w:rsidDel="00000000" w:rsidR="00000000" w:rsidRPr="00000000">
        <w:rPr>
          <w:sz w:val="24"/>
          <w:szCs w:val="24"/>
          <w:rtl w:val="0"/>
        </w:rPr>
        <w:t xml:space="preserve"> | </w:t>
      </w:r>
      <w:hyperlink r:id="rId14">
        <w:r w:rsidDel="00000000" w:rsidR="00000000" w:rsidRPr="00000000">
          <w:rPr>
            <w:color w:val="1155cc"/>
            <w:sz w:val="24"/>
            <w:szCs w:val="24"/>
            <w:u w:val="single"/>
            <w:rtl w:val="0"/>
          </w:rPr>
          <w:t xml:space="preserve">Telegram Community</w:t>
        </w:r>
      </w:hyperlink>
      <w:r w:rsidDel="00000000" w:rsidR="00000000" w:rsidRPr="00000000">
        <w:rPr>
          <w:rtl w:val="0"/>
        </w:rPr>
      </w:r>
    </w:p>
    <w:p w:rsidR="00000000" w:rsidDel="00000000" w:rsidP="00000000" w:rsidRDefault="00000000" w:rsidRPr="00000000" w14:paraId="00000030">
      <w:pPr>
        <w:spacing w:after="240" w:before="240" w:lineRule="auto"/>
        <w:rPr>
          <w:sz w:val="24"/>
          <w:szCs w:val="24"/>
        </w:rPr>
      </w:pPr>
      <w:r w:rsidDel="00000000" w:rsidR="00000000" w:rsidRPr="00000000">
        <w:rPr>
          <w:sz w:val="24"/>
          <w:szCs w:val="24"/>
          <w:rtl w:val="0"/>
        </w:rPr>
        <w:t xml:space="preserve">Disclaimer: Investing in cryptocurrencies and tokenized assets carries risk, including potential loss of capital. Please consult a licensed financial professional before investing.</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https://ipogenie.ai/tg?utm_source=Coin%20Central&amp;utm_medium=Article&amp;utm_term=G1&amp;utm_campaign=Coming%20Soon%3A%20%24IPO%20Presale%20Opens%20Amid%20%2410T%20STO%20Boom%20%26%20Tokenization%20Trend" TargetMode="External"/><Relationship Id="rId13" Type="http://schemas.openxmlformats.org/officeDocument/2006/relationships/hyperlink" Target="https://ipogenie.ai/x?utm_source=Coin%20Central&amp;utm_medium=Article&amp;utm_term=G1&amp;utm_campaign=Coming%20Soon%3A%20%24IPO%20Presale%20Opens%20Amid%20%2410T%20STO%20Boom%20%26%20Tokenization%20Trend" TargetMode="External"/><Relationship Id="rId12" Type="http://schemas.openxmlformats.org/officeDocument/2006/relationships/hyperlink" Target="https://ipogenie.ai/?utm_source=Coin%20Central&amp;utm_medium=Article&amp;utm_term=G1&amp;utm_campaign=Coming%20Soon%3A%20%24IPO%20Presale%20Opens%20Amid%20%2410T%20STO%20Boom%20%26%20Tokenization%20Tren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pogenie.ai/?utm_source=Coin%20Central&amp;utm_medium=Article&amp;utm_term=G1&amp;utm_campaign=Coming%20Soon%3A%20%24IPO%20Presale%20Opens%20Amid%20%2410T%20STO%20Boom%20%26%20Tokenization%20Trend" TargetMode="External"/><Relationship Id="rId14" Type="http://schemas.openxmlformats.org/officeDocument/2006/relationships/hyperlink" Target="https://ipogenie.ai/tg?utm_source=Coin%20Central&amp;utm_medium=Article&amp;utm_term=G1&amp;utm_campaign=Coming%20Soon%3A%20%24IPO%20Presale%20Opens%20Amid%20%2410T%20STO%20Boom%20%26%20Tokenization%20Trend" TargetMode="External"/><Relationship Id="rId5" Type="http://schemas.openxmlformats.org/officeDocument/2006/relationships/styles" Target="styles.xml"/><Relationship Id="rId6" Type="http://schemas.openxmlformats.org/officeDocument/2006/relationships/hyperlink" Target="https://ipogenie.ai/?utm_source=Coin%20Central&amp;utm_medium=Article&amp;utm_term=G1&amp;utm_campaign=Coming%20Soon%3A%20%24IPO%20Presale%20Opens%20Amid%20%2410T%20STO%20Boom%20%26%20Tokenization%20Trend" TargetMode="External"/><Relationship Id="rId7" Type="http://schemas.openxmlformats.org/officeDocument/2006/relationships/image" Target="media/image1.jpg"/><Relationship Id="rId8" Type="http://schemas.openxmlformats.org/officeDocument/2006/relationships/hyperlink" Target="https://academy.binance.com/en/glossary/security-token-offering-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