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b w:val="1"/>
          <w:sz w:val="24"/>
          <w:szCs w:val="24"/>
          <w:rtl w:val="0"/>
        </w:rPr>
        <w:t xml:space="preserve">Meta Title:</w:t>
      </w:r>
      <w:r w:rsidDel="00000000" w:rsidR="00000000" w:rsidRPr="00000000">
        <w:rPr>
          <w:sz w:val="24"/>
          <w:szCs w:val="24"/>
          <w:rtl w:val="0"/>
        </w:rPr>
        <w:t xml:space="preserve"> $IPO Presale to Launch as AI-Driven Tokens Grow 3× in Value </w:t>
      </w:r>
    </w:p>
    <w:p w:rsidR="00000000" w:rsidDel="00000000" w:rsidP="00000000" w:rsidRDefault="00000000" w:rsidRPr="00000000" w14:paraId="00000002">
      <w:pPr>
        <w:spacing w:after="240" w:before="240" w:lineRule="auto"/>
        <w:rPr>
          <w:sz w:val="24"/>
          <w:szCs w:val="24"/>
        </w:rPr>
      </w:pPr>
      <w:r w:rsidDel="00000000" w:rsidR="00000000" w:rsidRPr="00000000">
        <w:rPr>
          <w:b w:val="1"/>
          <w:sz w:val="24"/>
          <w:szCs w:val="24"/>
          <w:rtl w:val="0"/>
        </w:rPr>
        <w:t xml:space="preserve">Meta Description:</w:t>
      </w:r>
      <w:r w:rsidDel="00000000" w:rsidR="00000000" w:rsidRPr="00000000">
        <w:rPr>
          <w:sz w:val="24"/>
          <w:szCs w:val="24"/>
          <w:rtl w:val="0"/>
        </w:rPr>
        <w:t xml:space="preserve"> Find out how $IPO presale launch coincides with when AI-driven tokens are seeing a 3x increase in value and how this means huge rewards for early investors.</w:t>
      </w:r>
    </w:p>
    <w:p w:rsidR="00000000" w:rsidDel="00000000" w:rsidP="00000000" w:rsidRDefault="00000000" w:rsidRPr="00000000" w14:paraId="00000003">
      <w:pPr>
        <w:pStyle w:val="Heading1"/>
        <w:keepNext w:val="0"/>
        <w:keepLines w:val="0"/>
        <w:spacing w:before="480" w:lineRule="auto"/>
        <w:rPr/>
      </w:pPr>
      <w:bookmarkStart w:colFirst="0" w:colLast="0" w:name="_32f1qar3qev6" w:id="0"/>
      <w:bookmarkEnd w:id="0"/>
      <w:r w:rsidDel="00000000" w:rsidR="00000000" w:rsidRPr="00000000">
        <w:rPr>
          <w:rtl w:val="0"/>
        </w:rPr>
        <w:t xml:space="preserve">Last Call: $IPO Presale to Launch as AI-Driven Tokens Grow 3× in Value</w:t>
      </w:r>
    </w:p>
    <w:p w:rsidR="00000000" w:rsidDel="00000000" w:rsidP="00000000" w:rsidRDefault="00000000" w:rsidRPr="00000000" w14:paraId="00000004">
      <w:pPr>
        <w:rPr/>
      </w:pPr>
      <w:r w:rsidDel="00000000" w:rsidR="00000000" w:rsidRPr="00000000">
        <w:rPr/>
        <w:drawing>
          <wp:inline distB="114300" distT="114300" distL="114300" distR="114300">
            <wp:extent cx="5943600" cy="2971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2"/>
        <w:keepNext w:val="0"/>
        <w:keepLines w:val="0"/>
        <w:spacing w:before="280" w:lineRule="auto"/>
        <w:rPr/>
      </w:pPr>
      <w:bookmarkStart w:colFirst="0" w:colLast="0" w:name="_jun0fbaf6u2t" w:id="1"/>
      <w:bookmarkEnd w:id="1"/>
      <w:r w:rsidDel="00000000" w:rsidR="00000000" w:rsidRPr="00000000">
        <w:rPr>
          <w:rtl w:val="0"/>
        </w:rPr>
        <w:t xml:space="preserve">What Makes Now Different?</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Crypto’s latest wave is being driven by AI and momentum is accelerating. Across headlines and market reports, AI-themed tokens and presales have seen a dramatic lift in investor interest and capital formation this year, with multiple market trackers and outlets reporting sharp multi-fold increases in activity and funding for AI-focused crypto projects. Investors are taking note and </w:t>
      </w:r>
    </w:p>
    <w:p w:rsidR="00000000" w:rsidDel="00000000" w:rsidP="00000000" w:rsidRDefault="00000000" w:rsidRPr="00000000" w14:paraId="00000007">
      <w:pPr>
        <w:spacing w:after="240" w:before="240" w:lineRule="auto"/>
        <w:rPr>
          <w:b w:val="1"/>
          <w:color w:val="000000"/>
          <w:sz w:val="24"/>
          <w:szCs w:val="24"/>
        </w:rPr>
      </w:pPr>
      <w:hyperlink r:id="rId7">
        <w:r w:rsidDel="00000000" w:rsidR="00000000" w:rsidRPr="00000000">
          <w:rPr>
            <w:color w:val="1155cc"/>
            <w:sz w:val="24"/>
            <w:szCs w:val="24"/>
            <w:u w:val="single"/>
            <w:rtl w:val="0"/>
          </w:rPr>
          <w:t xml:space="preserve">$IPO’s</w:t>
        </w:r>
      </w:hyperlink>
      <w:r w:rsidDel="00000000" w:rsidR="00000000" w:rsidRPr="00000000">
        <w:rPr>
          <w:sz w:val="24"/>
          <w:szCs w:val="24"/>
          <w:rtl w:val="0"/>
        </w:rPr>
        <w:t xml:space="preserve"> presale opens at the perfect moment to capitalize.</w:t>
      </w:r>
      <w:r w:rsidDel="00000000" w:rsidR="00000000" w:rsidRPr="00000000">
        <w:rPr>
          <w:rtl w:val="0"/>
        </w:rPr>
      </w:r>
    </w:p>
    <w:p w:rsidR="00000000" w:rsidDel="00000000" w:rsidP="00000000" w:rsidRDefault="00000000" w:rsidRPr="00000000" w14:paraId="00000008">
      <w:pPr>
        <w:pStyle w:val="Heading2"/>
        <w:keepNext w:val="0"/>
        <w:keepLines w:val="0"/>
        <w:spacing w:before="280" w:lineRule="auto"/>
        <w:rPr/>
      </w:pPr>
      <w:bookmarkStart w:colFirst="0" w:colLast="0" w:name="_rcz7lmm6k0do" w:id="2"/>
      <w:bookmarkEnd w:id="2"/>
      <w:r w:rsidDel="00000000" w:rsidR="00000000" w:rsidRPr="00000000">
        <w:rPr>
          <w:rtl w:val="0"/>
        </w:rPr>
        <w:t xml:space="preserve">What $IPO Offers Early Participants</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The convergence of AI and crypto is producing more than catchy headlines: it’s shifting where early capital flows. Industry coverage in 2025 shows AI-themed crypto projects attracting outsized attention and fresh capital, lifting token valuations and presale volumes across multiple sectors. That surge has created a narrow window for presale entry before demand-driven price moves push early-stage access out of reach.</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At the same time, the long-term tokenization opportunity continues to expand. </w:t>
      </w:r>
      <w:hyperlink r:id="rId8">
        <w:r w:rsidDel="00000000" w:rsidR="00000000" w:rsidRPr="00000000">
          <w:rPr>
            <w:color w:val="1155cc"/>
            <w:sz w:val="24"/>
            <w:szCs w:val="24"/>
            <w:u w:val="single"/>
            <w:rtl w:val="0"/>
          </w:rPr>
          <w:t xml:space="preserve">Major industry analysis forecasts</w:t>
        </w:r>
      </w:hyperlink>
      <w:r w:rsidDel="00000000" w:rsidR="00000000" w:rsidRPr="00000000">
        <w:rPr>
          <w:sz w:val="24"/>
          <w:szCs w:val="24"/>
          <w:rtl w:val="0"/>
        </w:rPr>
        <w:t xml:space="preserve"> tokenized assets can reach into the trillions over the coming decade, positioning compliant, utility-first projects well for sustained growth. That structural tailwind is a core reason strategic presales now get institutional and retail interest simultaneously.</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$IPO (the IPO Genie presale token) is designed as a practical entry ticket into tokenized private market opportunities powered by AI curation and institutional-grade infrastructure. Key features the project highlights in its presale materials include:</w:t>
      </w:r>
    </w:p>
    <w:p w:rsidR="00000000" w:rsidDel="00000000" w:rsidP="00000000" w:rsidRDefault="00000000" w:rsidRPr="00000000" w14:paraId="0000000C">
      <w:pPr>
        <w:numPr>
          <w:ilvl w:val="0"/>
          <w:numId w:val="1"/>
        </w:numPr>
        <w:spacing w:after="0" w:afterAutospacing="0" w:before="240" w:lineRule="auto"/>
        <w:ind w:left="720" w:hanging="360"/>
        <w:rPr>
          <w:sz w:val="24"/>
          <w:szCs w:val="24"/>
        </w:rPr>
      </w:pPr>
      <w:r w:rsidDel="00000000" w:rsidR="00000000" w:rsidRPr="00000000">
        <w:rPr>
          <w:b w:val="1"/>
          <w:sz w:val="24"/>
          <w:szCs w:val="24"/>
          <w:rtl w:val="0"/>
        </w:rPr>
        <w:t xml:space="preserve">AI-driven deal discovery:</w:t>
      </w:r>
      <w:r w:rsidDel="00000000" w:rsidR="00000000" w:rsidRPr="00000000">
        <w:rPr>
          <w:sz w:val="24"/>
          <w:szCs w:val="24"/>
          <w:rtl w:val="0"/>
        </w:rPr>
        <w:t xml:space="preserve"> an on-chain and off-chain engine that scans startup signals, fundamentals and market momentum to identify pre-IPO opportunities earlier and with greater coverage than manual sources.</w:t>
      </w:r>
    </w:p>
    <w:p w:rsidR="00000000" w:rsidDel="00000000" w:rsidP="00000000" w:rsidRDefault="00000000" w:rsidRPr="00000000" w14:paraId="0000000D">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Tiered access model:</w:t>
      </w:r>
      <w:r w:rsidDel="00000000" w:rsidR="00000000" w:rsidRPr="00000000">
        <w:rPr>
          <w:sz w:val="24"/>
          <w:szCs w:val="24"/>
          <w:rtl w:val="0"/>
        </w:rPr>
        <w:t xml:space="preserve"> Bronze through Platinum tiers give progressively deeper access, from core deal exposure to priority allocations and co-investment rights.</w:t>
      </w:r>
    </w:p>
    <w:p w:rsidR="00000000" w:rsidDel="00000000" w:rsidP="00000000" w:rsidRDefault="00000000" w:rsidRPr="00000000" w14:paraId="0000000E">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Security and compliance:</w:t>
      </w:r>
      <w:r w:rsidDel="00000000" w:rsidR="00000000" w:rsidRPr="00000000">
        <w:rPr>
          <w:sz w:val="24"/>
          <w:szCs w:val="24"/>
          <w:rtl w:val="0"/>
        </w:rPr>
        <w:t xml:space="preserve"> CertiK-audited smart contracts, institutional custody, and automated KYC/AML flows are listed as core project safeguards.</w:t>
      </w:r>
    </w:p>
    <w:p w:rsidR="00000000" w:rsidDel="00000000" w:rsidP="00000000" w:rsidRDefault="00000000" w:rsidRPr="00000000" w14:paraId="0000000F">
      <w:pPr>
        <w:numPr>
          <w:ilvl w:val="0"/>
          <w:numId w:val="1"/>
        </w:numPr>
        <w:spacing w:after="240" w:before="0" w:beforeAutospacing="0" w:lineRule="auto"/>
        <w:ind w:left="720" w:hanging="360"/>
        <w:rPr>
          <w:sz w:val="24"/>
          <w:szCs w:val="24"/>
        </w:rPr>
      </w:pPr>
      <w:r w:rsidDel="00000000" w:rsidR="00000000" w:rsidRPr="00000000">
        <w:rPr>
          <w:b w:val="1"/>
          <w:sz w:val="24"/>
          <w:szCs w:val="24"/>
          <w:rtl w:val="0"/>
        </w:rPr>
        <w:t xml:space="preserve">Liquidity and governance:</w:t>
      </w:r>
      <w:r w:rsidDel="00000000" w:rsidR="00000000" w:rsidRPr="00000000">
        <w:rPr>
          <w:sz w:val="24"/>
          <w:szCs w:val="24"/>
          <w:rtl w:val="0"/>
        </w:rPr>
        <w:t xml:space="preserve"> tokenized allocations with secondary-market mechanisms and DAO governance let holders vote on fund selection and protocol upgrades.</w:t>
      </w:r>
    </w:p>
    <w:p w:rsidR="00000000" w:rsidDel="00000000" w:rsidP="00000000" w:rsidRDefault="00000000" w:rsidRPr="00000000" w14:paraId="00000010">
      <w:pPr>
        <w:spacing w:after="240" w:before="240" w:lineRule="auto"/>
        <w:ind w:left="0" w:firstLine="0"/>
        <w:rPr>
          <w:sz w:val="24"/>
          <w:szCs w:val="24"/>
        </w:rPr>
      </w:pPr>
      <w:r w:rsidDel="00000000" w:rsidR="00000000" w:rsidRPr="00000000">
        <w:rPr>
          <w:sz w:val="24"/>
          <w:szCs w:val="24"/>
          <w:rtl w:val="0"/>
        </w:rPr>
        <w:t xml:space="preserve">Early presale pricing and tier details are published in the presale materials; interested investors should always consult the official documents before participating.</w:t>
      </w:r>
    </w:p>
    <w:p w:rsidR="00000000" w:rsidDel="00000000" w:rsidP="00000000" w:rsidRDefault="00000000" w:rsidRPr="00000000" w14:paraId="00000011">
      <w:pPr>
        <w:pStyle w:val="Heading2"/>
        <w:keepNext w:val="0"/>
        <w:keepLines w:val="0"/>
        <w:spacing w:before="280" w:lineRule="auto"/>
        <w:rPr/>
      </w:pPr>
      <w:bookmarkStart w:colFirst="0" w:colLast="0" w:name="_4t5t6k3cyw6a" w:id="3"/>
      <w:bookmarkEnd w:id="3"/>
      <w:r w:rsidDel="00000000" w:rsidR="00000000" w:rsidRPr="00000000">
        <w:rPr>
          <w:rtl w:val="0"/>
        </w:rPr>
        <w:t xml:space="preserve">Risk, Reward and Everything in Between</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AI-driven presales can deliver rapid upside and rapid repricing as token stages close. That means two things for prospective buyers: </w:t>
      </w:r>
    </w:p>
    <w:p w:rsidR="00000000" w:rsidDel="00000000" w:rsidP="00000000" w:rsidRDefault="00000000" w:rsidRPr="00000000" w14:paraId="00000013">
      <w:pPr>
        <w:numPr>
          <w:ilvl w:val="0"/>
          <w:numId w:val="2"/>
        </w:numPr>
        <w:spacing w:after="0" w:afterAutospacing="0" w:before="240" w:lineRule="auto"/>
        <w:ind w:left="720" w:hanging="360"/>
        <w:rPr>
          <w:sz w:val="24"/>
          <w:szCs w:val="24"/>
          <w:u w:val="none"/>
        </w:rPr>
      </w:pPr>
      <w:r w:rsidDel="00000000" w:rsidR="00000000" w:rsidRPr="00000000">
        <w:rPr>
          <w:sz w:val="24"/>
          <w:szCs w:val="24"/>
          <w:rtl w:val="0"/>
        </w:rPr>
        <w:t xml:space="preserve">early entry tends to capture the most favorable pricing and allocation, and </w:t>
      </w:r>
    </w:p>
    <w:p w:rsidR="00000000" w:rsidDel="00000000" w:rsidP="00000000" w:rsidRDefault="00000000" w:rsidRPr="00000000" w14:paraId="00000014">
      <w:pPr>
        <w:numPr>
          <w:ilvl w:val="0"/>
          <w:numId w:val="2"/>
        </w:numPr>
        <w:spacing w:after="240" w:before="0" w:beforeAutospacing="0" w:lineRule="auto"/>
        <w:ind w:left="720" w:hanging="360"/>
        <w:rPr>
          <w:sz w:val="24"/>
          <w:szCs w:val="24"/>
          <w:u w:val="none"/>
        </w:rPr>
      </w:pPr>
      <w:r w:rsidDel="00000000" w:rsidR="00000000" w:rsidRPr="00000000">
        <w:rPr>
          <w:sz w:val="24"/>
          <w:szCs w:val="24"/>
          <w:rtl w:val="0"/>
        </w:rPr>
        <w:t xml:space="preserve">rigorous diligence matters now more than ever. $IPO attempts to balance those dynamics by combining AI curation with on-chain transparency and institutional controls designed to reduce downside tail risk.</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It’s important to note that even utility-focused presales carry market risk. Presales can be illiquid until secondary markets form and token economics take hold. The responsible approach is to size allocations to fit overall risk tolerance and to verify all technical and legal documents before committing capital.</w:t>
      </w:r>
    </w:p>
    <w:p w:rsidR="00000000" w:rsidDel="00000000" w:rsidP="00000000" w:rsidRDefault="00000000" w:rsidRPr="00000000" w14:paraId="00000016">
      <w:pPr>
        <w:pStyle w:val="Heading2"/>
        <w:keepNext w:val="0"/>
        <w:keepLines w:val="0"/>
        <w:spacing w:before="280" w:lineRule="auto"/>
        <w:rPr/>
      </w:pPr>
      <w:bookmarkStart w:colFirst="0" w:colLast="0" w:name="_zg57hzfrfwdp" w:id="4"/>
      <w:bookmarkEnd w:id="4"/>
      <w:r w:rsidDel="00000000" w:rsidR="00000000" w:rsidRPr="00000000">
        <w:rPr>
          <w:rtl w:val="0"/>
        </w:rPr>
        <w:t xml:space="preserve">Timing and the Next Steps</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Because AI-sector interest remains hot, stage-based presales for AI-aligned tokens often sell out quickly. If you’re watching $IPO, this stage is the last call to secure the lowest presale price and priority access to the tokenized investment pipeline that the project plans to operate. Check the official presale page and the published whitepaper for stage schedules, KYC steps, and the smart contract audit link.</w:t>
      </w:r>
    </w:p>
    <w:p w:rsidR="00000000" w:rsidDel="00000000" w:rsidP="00000000" w:rsidRDefault="00000000" w:rsidRPr="00000000" w14:paraId="00000018">
      <w:pPr>
        <w:pStyle w:val="Heading2"/>
        <w:keepNext w:val="0"/>
        <w:keepLines w:val="0"/>
        <w:spacing w:before="280" w:lineRule="auto"/>
        <w:rPr/>
      </w:pPr>
      <w:bookmarkStart w:colFirst="0" w:colLast="0" w:name="_m0dg4ibf7mvc" w:id="5"/>
      <w:bookmarkEnd w:id="5"/>
      <w:r w:rsidDel="00000000" w:rsidR="00000000" w:rsidRPr="00000000">
        <w:rPr>
          <w:rtl w:val="0"/>
        </w:rPr>
        <w:t xml:space="preserve">The First and Best Time Is Now</w:t>
      </w:r>
      <w:r w:rsidDel="00000000" w:rsidR="00000000" w:rsidRPr="00000000">
        <w:rPr>
          <w:rtl w:val="0"/>
        </w:rPr>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The current market environment is rare: structural tailwinds for tokenization plus an AI-driven appetite for early exposure. That combination creates opportunity — but it also amplifies the importance of selecting projects with credible governance, clear compliance, and verifiable infrastructure. $IPO positions itself to ride both trends; the presale window is short. If you’re considering participation, review the whitepaper and audit, confirm the presale mechanics, and make an informed move before the stage closes.</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For more information about IPO Genie:</w:t>
      </w:r>
    </w:p>
    <w:p w:rsidR="00000000" w:rsidDel="00000000" w:rsidP="00000000" w:rsidRDefault="00000000" w:rsidRPr="00000000" w14:paraId="0000001B">
      <w:pPr>
        <w:spacing w:after="240" w:before="240" w:lineRule="auto"/>
        <w:rPr>
          <w:sz w:val="24"/>
          <w:szCs w:val="24"/>
        </w:rPr>
      </w:pPr>
      <w:hyperlink r:id="rId9">
        <w:r w:rsidDel="00000000" w:rsidR="00000000" w:rsidRPr="00000000">
          <w:rPr>
            <w:color w:val="1155cc"/>
            <w:sz w:val="24"/>
            <w:szCs w:val="24"/>
            <w:u w:val="single"/>
            <w:rtl w:val="0"/>
          </w:rPr>
          <w:t xml:space="preserve">Website URL</w:t>
        </w:r>
      </w:hyperlink>
      <w:r w:rsidDel="00000000" w:rsidR="00000000" w:rsidRPr="00000000">
        <w:rPr>
          <w:sz w:val="24"/>
          <w:szCs w:val="24"/>
          <w:rtl w:val="0"/>
        </w:rPr>
        <w:t xml:space="preserve"> | </w:t>
      </w:r>
      <w:hyperlink r:id="rId10">
        <w:r w:rsidDel="00000000" w:rsidR="00000000" w:rsidRPr="00000000">
          <w:rPr>
            <w:color w:val="1155cc"/>
            <w:sz w:val="24"/>
            <w:szCs w:val="24"/>
            <w:u w:val="single"/>
            <w:rtl w:val="0"/>
          </w:rPr>
          <w:t xml:space="preserve">X (Twitter)</w:t>
        </w:r>
      </w:hyperlink>
      <w:r w:rsidDel="00000000" w:rsidR="00000000" w:rsidRPr="00000000">
        <w:rPr>
          <w:sz w:val="24"/>
          <w:szCs w:val="24"/>
          <w:rtl w:val="0"/>
        </w:rPr>
        <w:t xml:space="preserve"> | </w:t>
      </w:r>
      <w:hyperlink r:id="rId11">
        <w:r w:rsidDel="00000000" w:rsidR="00000000" w:rsidRPr="00000000">
          <w:rPr>
            <w:color w:val="1155cc"/>
            <w:sz w:val="24"/>
            <w:szCs w:val="24"/>
            <w:u w:val="single"/>
            <w:rtl w:val="0"/>
          </w:rPr>
          <w:t xml:space="preserve">Telegram Community</w:t>
        </w:r>
      </w:hyperlink>
      <w:r w:rsidDel="00000000" w:rsidR="00000000" w:rsidRPr="00000000">
        <w:rPr>
          <w:rtl w:val="0"/>
        </w:rPr>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Disclaimer: This article is informational and not financial advice. Crypto investments carry risk; always conduct your own due diligence and consult a financial professional.</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t.me/IPO_GENIE" TargetMode="External"/><Relationship Id="rId10" Type="http://schemas.openxmlformats.org/officeDocument/2006/relationships/hyperlink" Target="https://x.com/IPOGENIE" TargetMode="External"/><Relationship Id="rId12" Type="http://schemas.openxmlformats.org/officeDocument/2006/relationships/header" Target="header1.xml"/><Relationship Id="rId9" Type="http://schemas.openxmlformats.org/officeDocument/2006/relationships/hyperlink" Target="https://ipogenie.ai/"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ipogenie.ai/" TargetMode="External"/><Relationship Id="rId8" Type="http://schemas.openxmlformats.org/officeDocument/2006/relationships/hyperlink" Target="https://www.coindesk.com/business/2025/09/24/crypto-millionaires-surge-40-led-by-bitcoin-s-rise-as-market-hits-usd3-3-tril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