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280" w:lineRule="auto"/>
        <w:jc w:val="both"/>
        <w:rPr/>
      </w:pPr>
      <w:bookmarkStart w:colFirst="0" w:colLast="0" w:name="_rsnn8xqhkj7j" w:id="0"/>
      <w:bookmarkEnd w:id="0"/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Solana ETFs Soar with $200M Inflows as U.S. Spot XRP ETFs Eye Mid-November Launch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Solana (SOL) ETFs have attracted $200 million inflows within days. Bitwise’s BSOL leads the charge, pulling in $197 million during its first week. On October 31 alone, it added $44 million amid strong confidence.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BSOL boasts a staking feature that gives 8% annually through Solana network validation. This gives Bitwise a notable edge over traditional crypto ETFs.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Meanwhile, Grayscale Solana ETF recorded $2.2 million in inflows since its debut, contributing to a combined Solana ETF valuation exceeding $500 million.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before="280" w:lineRule="auto"/>
        <w:jc w:val="both"/>
        <w:rPr/>
      </w:pPr>
      <w:bookmarkStart w:colFirst="0" w:colLast="0" w:name="_dvo913qgod3v" w:id="1"/>
      <w:bookmarkEnd w:id="1"/>
      <w:r w:rsidDel="00000000" w:rsidR="00000000" w:rsidRPr="00000000">
        <w:rPr>
          <w:rtl w:val="0"/>
        </w:rPr>
        <w:t xml:space="preserve">XRP ETFs Next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Following Solana, XRP is poised for its </w:t>
      </w:r>
      <w:r w:rsidDel="00000000" w:rsidR="00000000" w:rsidRPr="00000000">
        <w:rPr>
          <w:highlight w:val="yellow"/>
          <w:rtl w:val="0"/>
        </w:rPr>
        <w:t xml:space="preserve">own</w:t>
      </w:r>
      <w:r w:rsidDel="00000000" w:rsidR="00000000" w:rsidRPr="00000000">
        <w:rPr>
          <w:rtl w:val="0"/>
        </w:rPr>
        <w:t xml:space="preserve"> spot ETF launch. Franklin, Bitwise, and Canary Capital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are set</w:t>
        </w:r>
      </w:hyperlink>
      <w:r w:rsidDel="00000000" w:rsidR="00000000" w:rsidRPr="00000000">
        <w:rPr>
          <w:rtl w:val="0"/>
        </w:rPr>
        <w:t xml:space="preserve"> for November 13 debuts.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943600" cy="35052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Recent government delays in </w:t>
      </w:r>
      <w:r w:rsidDel="00000000" w:rsidR="00000000" w:rsidRPr="00000000">
        <w:rPr>
          <w:highlight w:val="yellow"/>
          <w:rtl w:val="0"/>
        </w:rPr>
        <w:t xml:space="preserve">SEC</w:t>
      </w:r>
      <w:r w:rsidDel="00000000" w:rsidR="00000000" w:rsidRPr="00000000">
        <w:rPr>
          <w:rtl w:val="0"/>
        </w:rPr>
        <w:t xml:space="preserve"> processing have been mitigated through auto-effective filings, allowing approvals to proceed.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Analysts predict XRP ETFs could channel billions in new institutional capital, driving market activity for the token and marking another step in mainstream crypto adoption.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before="280" w:lineRule="auto"/>
        <w:jc w:val="both"/>
        <w:rPr/>
      </w:pPr>
      <w:bookmarkStart w:colFirst="0" w:colLast="0" w:name="_w97o0kqo7ix4" w:id="2"/>
      <w:bookmarkEnd w:id="2"/>
      <w:r w:rsidDel="00000000" w:rsidR="00000000" w:rsidRPr="00000000">
        <w:rPr>
          <w:rtl w:val="0"/>
        </w:rPr>
        <w:t xml:space="preserve">Next Early-Stage Breakout Opportunity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Meanwhile,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Minotaurus (MTAUR)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highlight w:val="yellow"/>
          <w:rtl w:val="0"/>
        </w:rPr>
        <w:t xml:space="preserve">gain</w:t>
      </w:r>
      <w:r w:rsidDel="00000000" w:rsidR="00000000" w:rsidRPr="00000000">
        <w:rPr>
          <w:rtl w:val="0"/>
        </w:rPr>
        <w:t xml:space="preserve">ing attention as an early-stage project. The gaming project allows players to explore mazes, defeat mythic beasts, and unlock items using the native token.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Currently priced at 0.00012484 USDT, MTAUR has tripled from earlier levels, with the team planning top-tier exchange listings and strategic partnerships.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With a market cap of just 5.6 million, the project has room for substantial </w:t>
      </w:r>
      <w:r w:rsidDel="00000000" w:rsidR="00000000" w:rsidRPr="00000000">
        <w:rPr>
          <w:highlight w:val="yellow"/>
          <w:rtl w:val="0"/>
        </w:rPr>
        <w:t xml:space="preserve">growth</w:t>
      </w:r>
      <w:r w:rsidDel="00000000" w:rsidR="00000000" w:rsidRPr="00000000">
        <w:rPr>
          <w:rtl w:val="0"/>
        </w:rPr>
        <w:t xml:space="preserve">. It is fully audited by SolidProof and Coinsult, offering early exposure to a project that combines gaming, Web3, and blockchain innovation. </w:t>
      </w: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Learn more.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commentRangeStart w:id="0"/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sectPr>
      <w:head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Nick Stars" w:id="0" w:date="2025-11-05T07:55:04Z"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https://minotaurus.io/?utm_source=bitcoinsistemi.com&amp;utm_campaign=sghusrmzoujj5y1cq77t&amp;PropertyValue=1sj3t8pw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inotaurus.io/?utm_source=bitcoinsistemi.com&amp;utm_campaign=sghusrmzoujj5y1cq77t&amp;PropertyValue=1sj3t8pw" TargetMode="External"/><Relationship Id="rId10" Type="http://schemas.openxmlformats.org/officeDocument/2006/relationships/hyperlink" Target="https://minotaurus.io/?utm_source=bitcoinsistemi.com&amp;utm_campaign=sghusrmzoujj5y1cq77t&amp;PropertyValue=1sj3t8pw" TargetMode="External"/><Relationship Id="rId13" Type="http://schemas.openxmlformats.org/officeDocument/2006/relationships/header" Target="header1.xml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jpg"/><Relationship Id="rId8" Type="http://schemas.openxmlformats.org/officeDocument/2006/relationships/hyperlink" Target="https://x.com/EleanorTerrett/status/1985842508291588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