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both"/>
        <w:rPr>
          <w:sz w:val="24"/>
          <w:szCs w:val="24"/>
        </w:rPr>
      </w:pPr>
      <w:r w:rsidDel="00000000" w:rsidR="00000000" w:rsidRPr="00000000">
        <w:rPr>
          <w:b w:val="1"/>
          <w:sz w:val="24"/>
          <w:szCs w:val="24"/>
          <w:rtl w:val="0"/>
        </w:rPr>
        <w:t xml:space="preserve">Meta Title:</w:t>
      </w:r>
      <w:r w:rsidDel="00000000" w:rsidR="00000000" w:rsidRPr="00000000">
        <w:rPr>
          <w:sz w:val="24"/>
          <w:szCs w:val="24"/>
          <w:rtl w:val="0"/>
        </w:rPr>
        <w:t xml:space="preserve"> $IPO Presale May Outperform 2025’s Top Crypto Presales</w:t>
      </w:r>
    </w:p>
    <w:p w:rsidR="00000000" w:rsidDel="00000000" w:rsidP="00000000" w:rsidRDefault="00000000" w:rsidRPr="00000000" w14:paraId="00000002">
      <w:pPr>
        <w:spacing w:after="240" w:before="240" w:lineRule="auto"/>
        <w:jc w:val="both"/>
        <w:rPr>
          <w:sz w:val="24"/>
          <w:szCs w:val="24"/>
        </w:rPr>
      </w:pPr>
      <w:r w:rsidDel="00000000" w:rsidR="00000000" w:rsidRPr="00000000">
        <w:rPr>
          <w:b w:val="1"/>
          <w:sz w:val="24"/>
          <w:szCs w:val="24"/>
          <w:rtl w:val="0"/>
        </w:rPr>
        <w:t xml:space="preserve">Meta Description:</w:t>
      </w:r>
      <w:r w:rsidDel="00000000" w:rsidR="00000000" w:rsidRPr="00000000">
        <w:rPr>
          <w:sz w:val="24"/>
          <w:szCs w:val="24"/>
          <w:rtl w:val="0"/>
        </w:rPr>
        <w:t xml:space="preserve"> Analysts say $IPO could surpass 2025’s biggest presales, offering regulated $3T market access, AI-driven deal sourcing, and strong 20× growth potential.</w:t>
      </w:r>
    </w:p>
    <w:p w:rsidR="00000000" w:rsidDel="00000000" w:rsidP="00000000" w:rsidRDefault="00000000" w:rsidRPr="00000000" w14:paraId="00000003">
      <w:pPr>
        <w:pStyle w:val="Heading1"/>
        <w:jc w:val="both"/>
        <w:rPr>
          <w:b w:val="1"/>
        </w:rPr>
      </w:pPr>
      <w:bookmarkStart w:colFirst="0" w:colLast="0" w:name="_zk2pfi4v7nr" w:id="0"/>
      <w:bookmarkEnd w:id="0"/>
      <w:r w:rsidDel="00000000" w:rsidR="00000000" w:rsidRPr="00000000">
        <w:rPr>
          <w:b w:val="1"/>
          <w:rtl w:val="0"/>
        </w:rPr>
        <w:t xml:space="preserve">Experts Predict $IPO Could Outperform Top 5 Crypto Presales of 2025</w:t>
      </w:r>
    </w:p>
    <w:p w:rsidR="00000000" w:rsidDel="00000000" w:rsidP="00000000" w:rsidRDefault="00000000" w:rsidRPr="00000000" w14:paraId="00000004">
      <w:pPr>
        <w:pStyle w:val="Heading2"/>
        <w:jc w:val="both"/>
        <w:rPr/>
      </w:pPr>
      <w:bookmarkStart w:colFirst="0" w:colLast="0" w:name="_370qcj3r7uvr" w:id="1"/>
      <w:bookmarkEnd w:id="1"/>
      <w:r w:rsidDel="00000000" w:rsidR="00000000" w:rsidRPr="00000000">
        <w:rPr>
          <w:rtl w:val="0"/>
        </w:rPr>
        <w:t xml:space="preserve">Presales Take the Spotlight in 2025</w:t>
      </w:r>
    </w:p>
    <w:p w:rsidR="00000000" w:rsidDel="00000000" w:rsidP="00000000" w:rsidRDefault="00000000" w:rsidRPr="00000000" w14:paraId="00000005">
      <w:pPr>
        <w:rPr/>
      </w:pPr>
      <w:hyperlink r:id="rId6">
        <w:r w:rsidDel="00000000" w:rsidR="00000000" w:rsidRPr="00000000">
          <w:rPr>
            <w:color w:val="1155cc"/>
            <w:u w:val="single"/>
          </w:rPr>
          <w:drawing>
            <wp:inline distB="114300" distT="114300" distL="114300" distR="114300">
              <wp:extent cx="5943600" cy="39624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3962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6">
      <w:pPr>
        <w:spacing w:after="240" w:before="240" w:lineRule="auto"/>
        <w:jc w:val="both"/>
        <w:rPr>
          <w:sz w:val="24"/>
          <w:szCs w:val="24"/>
        </w:rPr>
      </w:pPr>
      <w:r w:rsidDel="00000000" w:rsidR="00000000" w:rsidRPr="00000000">
        <w:rPr>
          <w:sz w:val="24"/>
          <w:szCs w:val="24"/>
          <w:rtl w:val="0"/>
        </w:rPr>
        <w:t xml:space="preserve">The crypto market of 2025 has entered a new chapter. Bitcoin hovers above $110,000, and altcoin volatility creates both opportunities and risks. In this climate, </w:t>
      </w:r>
      <w:r w:rsidDel="00000000" w:rsidR="00000000" w:rsidRPr="00000000">
        <w:rPr>
          <w:b w:val="1"/>
          <w:sz w:val="24"/>
          <w:szCs w:val="24"/>
          <w:rtl w:val="0"/>
        </w:rPr>
        <w:t xml:space="preserve">presales have become the preferred entry point for investors chasing outsized returns</w:t>
      </w:r>
      <w:r w:rsidDel="00000000" w:rsidR="00000000" w:rsidRPr="00000000">
        <w:rPr>
          <w:sz w:val="24"/>
          <w:szCs w:val="24"/>
          <w:rtl w:val="0"/>
        </w:rPr>
        <w:t xml:space="preserve">. According to CoinGecko data, presales in Q2 alone attracted over $2 billion in inflows, fueled by the rise of AI-themed tokens and compliant investment platforms.</w:t>
      </w:r>
    </w:p>
    <w:p w:rsidR="00000000" w:rsidDel="00000000" w:rsidP="00000000" w:rsidRDefault="00000000" w:rsidRPr="00000000" w14:paraId="00000007">
      <w:pPr>
        <w:spacing w:after="240" w:before="240" w:lineRule="auto"/>
        <w:jc w:val="both"/>
        <w:rPr>
          <w:sz w:val="24"/>
          <w:szCs w:val="24"/>
        </w:rPr>
      </w:pPr>
      <w:r w:rsidDel="00000000" w:rsidR="00000000" w:rsidRPr="00000000">
        <w:rPr>
          <w:sz w:val="24"/>
          <w:szCs w:val="24"/>
          <w:rtl w:val="0"/>
        </w:rPr>
        <w:t xml:space="preserve">Amid this wave, </w:t>
      </w:r>
      <w:hyperlink r:id="rId8">
        <w:r w:rsidDel="00000000" w:rsidR="00000000" w:rsidRPr="00000000">
          <w:rPr>
            <w:b w:val="1"/>
            <w:color w:val="1155cc"/>
            <w:sz w:val="24"/>
            <w:szCs w:val="24"/>
            <w:u w:val="single"/>
            <w:rtl w:val="0"/>
          </w:rPr>
          <w:t xml:space="preserve">IPO Genie ($IPO)</w:t>
        </w:r>
      </w:hyperlink>
      <w:r w:rsidDel="00000000" w:rsidR="00000000" w:rsidRPr="00000000">
        <w:rPr>
          <w:sz w:val="24"/>
          <w:szCs w:val="24"/>
          <w:rtl w:val="0"/>
        </w:rPr>
        <w:t xml:space="preserve"> is being positioned by analysts as a presale that could not only hold its own but potentially </w:t>
      </w:r>
      <w:r w:rsidDel="00000000" w:rsidR="00000000" w:rsidRPr="00000000">
        <w:rPr>
          <w:b w:val="1"/>
          <w:sz w:val="24"/>
          <w:szCs w:val="24"/>
          <w:rtl w:val="0"/>
        </w:rPr>
        <w:t xml:space="preserve">outperform the Top 5 crypto presales of 2025</w:t>
      </w:r>
      <w:r w:rsidDel="00000000" w:rsidR="00000000" w:rsidRPr="00000000">
        <w:rPr>
          <w:sz w:val="24"/>
          <w:szCs w:val="24"/>
          <w:rtl w:val="0"/>
        </w:rPr>
        <w:t xml:space="preserve">.</w:t>
      </w:r>
    </w:p>
    <w:p w:rsidR="00000000" w:rsidDel="00000000" w:rsidP="00000000" w:rsidRDefault="00000000" w:rsidRPr="00000000" w14:paraId="00000008">
      <w:pPr>
        <w:pStyle w:val="Heading2"/>
        <w:jc w:val="both"/>
        <w:rPr>
          <w:b w:val="1"/>
        </w:rPr>
      </w:pPr>
      <w:bookmarkStart w:colFirst="0" w:colLast="0" w:name="_i9crr2lkosyd" w:id="2"/>
      <w:bookmarkEnd w:id="2"/>
      <w:r w:rsidDel="00000000" w:rsidR="00000000" w:rsidRPr="00000000">
        <w:rPr>
          <w:b w:val="1"/>
          <w:rtl w:val="0"/>
        </w:rPr>
        <w:t xml:space="preserve">Why $IPO Stands Apart From Typical Presales</w:t>
      </w:r>
    </w:p>
    <w:p w:rsidR="00000000" w:rsidDel="00000000" w:rsidP="00000000" w:rsidRDefault="00000000" w:rsidRPr="00000000" w14:paraId="00000009">
      <w:pPr>
        <w:spacing w:after="240" w:before="240" w:lineRule="auto"/>
        <w:jc w:val="both"/>
        <w:rPr>
          <w:sz w:val="24"/>
          <w:szCs w:val="24"/>
        </w:rPr>
      </w:pPr>
      <w:r w:rsidDel="00000000" w:rsidR="00000000" w:rsidRPr="00000000">
        <w:rPr>
          <w:sz w:val="24"/>
          <w:szCs w:val="24"/>
          <w:rtl w:val="0"/>
        </w:rPr>
        <w:t xml:space="preserve">Most presales succeed or fail on hype. Tokens ride waves of speculation, often promising futuristic roadmaps without tangible backing. The result? Many presale tokens fade once exchange listings expose weak fundamentals.</w:t>
      </w:r>
    </w:p>
    <w:p w:rsidR="00000000" w:rsidDel="00000000" w:rsidP="00000000" w:rsidRDefault="00000000" w:rsidRPr="00000000" w14:paraId="0000000A">
      <w:pPr>
        <w:spacing w:after="240" w:before="240" w:lineRule="auto"/>
        <w:jc w:val="both"/>
        <w:rPr>
          <w:sz w:val="24"/>
          <w:szCs w:val="24"/>
        </w:rPr>
      </w:pPr>
      <w:r w:rsidDel="00000000" w:rsidR="00000000" w:rsidRPr="00000000">
        <w:rPr>
          <w:sz w:val="24"/>
          <w:szCs w:val="24"/>
          <w:rtl w:val="0"/>
        </w:rPr>
        <w:t xml:space="preserve">$IPO, however, follows a different blueprint:</w:t>
      </w:r>
    </w:p>
    <w:p w:rsidR="00000000" w:rsidDel="00000000" w:rsidP="00000000" w:rsidRDefault="00000000" w:rsidRPr="00000000" w14:paraId="0000000B">
      <w:pPr>
        <w:numPr>
          <w:ilvl w:val="0"/>
          <w:numId w:val="2"/>
        </w:numPr>
        <w:spacing w:after="0" w:afterAutospacing="0" w:before="240" w:lineRule="auto"/>
        <w:ind w:left="720" w:hanging="360"/>
        <w:jc w:val="both"/>
        <w:rPr>
          <w:sz w:val="24"/>
          <w:szCs w:val="24"/>
        </w:rPr>
      </w:pPr>
      <w:r w:rsidDel="00000000" w:rsidR="00000000" w:rsidRPr="00000000">
        <w:rPr>
          <w:b w:val="1"/>
          <w:sz w:val="24"/>
          <w:szCs w:val="24"/>
          <w:rtl w:val="0"/>
        </w:rPr>
        <w:t xml:space="preserve">Real Asset Access:</w:t>
      </w:r>
      <w:r w:rsidDel="00000000" w:rsidR="00000000" w:rsidRPr="00000000">
        <w:rPr>
          <w:sz w:val="24"/>
          <w:szCs w:val="24"/>
          <w:rtl w:val="0"/>
        </w:rPr>
        <w:t xml:space="preserve"> Through </w:t>
      </w:r>
      <w:hyperlink r:id="rId9">
        <w:r w:rsidDel="00000000" w:rsidR="00000000" w:rsidRPr="00000000">
          <w:rPr>
            <w:color w:val="1155cc"/>
            <w:sz w:val="24"/>
            <w:szCs w:val="24"/>
            <w:u w:val="single"/>
            <w:rtl w:val="0"/>
          </w:rPr>
          <w:t xml:space="preserve">Security Token Offerings (STOs)</w:t>
        </w:r>
      </w:hyperlink>
      <w:r w:rsidDel="00000000" w:rsidR="00000000" w:rsidRPr="00000000">
        <w:rPr>
          <w:sz w:val="24"/>
          <w:szCs w:val="24"/>
          <w:rtl w:val="0"/>
        </w:rPr>
        <w:t xml:space="preserve">, $IPO unlocks exposure to the $3 trillion global private capital market.</w:t>
      </w:r>
    </w:p>
    <w:p w:rsidR="00000000" w:rsidDel="00000000" w:rsidP="00000000" w:rsidRDefault="00000000" w:rsidRPr="00000000" w14:paraId="0000000C">
      <w:pPr>
        <w:numPr>
          <w:ilvl w:val="0"/>
          <w:numId w:val="2"/>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AI Deal Discovery:</w:t>
      </w:r>
      <w:r w:rsidDel="00000000" w:rsidR="00000000" w:rsidRPr="00000000">
        <w:rPr>
          <w:sz w:val="24"/>
          <w:szCs w:val="24"/>
          <w:rtl w:val="0"/>
        </w:rPr>
        <w:t xml:space="preserve"> Proprietary AI scans thousands of signals, from Crunchbase activity to GitHub commits, to identify high-potential startups early.</w:t>
      </w:r>
    </w:p>
    <w:p w:rsidR="00000000" w:rsidDel="00000000" w:rsidP="00000000" w:rsidRDefault="00000000" w:rsidRPr="00000000" w14:paraId="0000000D">
      <w:pPr>
        <w:numPr>
          <w:ilvl w:val="0"/>
          <w:numId w:val="2"/>
        </w:numPr>
        <w:spacing w:after="240" w:before="0" w:beforeAutospacing="0" w:lineRule="auto"/>
        <w:ind w:left="720" w:hanging="360"/>
        <w:jc w:val="both"/>
        <w:rPr>
          <w:sz w:val="24"/>
          <w:szCs w:val="24"/>
        </w:rPr>
      </w:pPr>
      <w:r w:rsidDel="00000000" w:rsidR="00000000" w:rsidRPr="00000000">
        <w:rPr>
          <w:b w:val="1"/>
          <w:sz w:val="24"/>
          <w:szCs w:val="24"/>
          <w:rtl w:val="0"/>
        </w:rPr>
        <w:t xml:space="preserve">Tiered Access:</w:t>
      </w:r>
      <w:r w:rsidDel="00000000" w:rsidR="00000000" w:rsidRPr="00000000">
        <w:rPr>
          <w:sz w:val="24"/>
          <w:szCs w:val="24"/>
          <w:rtl w:val="0"/>
        </w:rPr>
        <w:t xml:space="preserve"> With as little as 1,000 $IPO tokens, accredited investors can enter curated pre-IPO deals once reserved for billion-dollar VCs.</w:t>
      </w:r>
    </w:p>
    <w:p w:rsidR="00000000" w:rsidDel="00000000" w:rsidP="00000000" w:rsidRDefault="00000000" w:rsidRPr="00000000" w14:paraId="0000000E">
      <w:pPr>
        <w:spacing w:after="240" w:before="240" w:lineRule="auto"/>
        <w:jc w:val="both"/>
        <w:rPr>
          <w:sz w:val="24"/>
          <w:szCs w:val="24"/>
        </w:rPr>
      </w:pPr>
      <w:r w:rsidDel="00000000" w:rsidR="00000000" w:rsidRPr="00000000">
        <w:rPr>
          <w:sz w:val="24"/>
          <w:szCs w:val="24"/>
          <w:rtl w:val="0"/>
        </w:rPr>
        <w:t xml:space="preserve">This combination gives $IPO a stronger foundation than meme-fueled or speculative tokens, aligning it with real-world financial demand.</w:t>
      </w:r>
    </w:p>
    <w:p w:rsidR="00000000" w:rsidDel="00000000" w:rsidP="00000000" w:rsidRDefault="00000000" w:rsidRPr="00000000" w14:paraId="0000000F">
      <w:pPr>
        <w:pStyle w:val="Heading2"/>
        <w:jc w:val="both"/>
        <w:rPr>
          <w:b w:val="1"/>
        </w:rPr>
      </w:pPr>
      <w:bookmarkStart w:colFirst="0" w:colLast="0" w:name="_kx5ewshcprwy" w:id="3"/>
      <w:bookmarkEnd w:id="3"/>
      <w:r w:rsidDel="00000000" w:rsidR="00000000" w:rsidRPr="00000000">
        <w:rPr>
          <w:b w:val="1"/>
          <w:rtl w:val="0"/>
        </w:rPr>
        <w:t xml:space="preserve">Analyst Comparisons to Leading Presales</w:t>
      </w:r>
    </w:p>
    <w:p w:rsidR="00000000" w:rsidDel="00000000" w:rsidP="00000000" w:rsidRDefault="00000000" w:rsidRPr="00000000" w14:paraId="00000010">
      <w:pPr>
        <w:spacing w:after="240" w:before="240" w:lineRule="auto"/>
        <w:jc w:val="both"/>
        <w:rPr>
          <w:sz w:val="24"/>
          <w:szCs w:val="24"/>
        </w:rPr>
      </w:pPr>
      <w:r w:rsidDel="00000000" w:rsidR="00000000" w:rsidRPr="00000000">
        <w:rPr>
          <w:sz w:val="24"/>
          <w:szCs w:val="24"/>
          <w:rtl w:val="0"/>
        </w:rPr>
        <w:t xml:space="preserve">Crypto research groups point out that presales like </w:t>
      </w:r>
      <w:r w:rsidDel="00000000" w:rsidR="00000000" w:rsidRPr="00000000">
        <w:rPr>
          <w:b w:val="1"/>
          <w:sz w:val="24"/>
          <w:szCs w:val="24"/>
          <w:rtl w:val="0"/>
        </w:rPr>
        <w:t xml:space="preserve">Launchpad XYZ</w:t>
      </w:r>
      <w:r w:rsidDel="00000000" w:rsidR="00000000" w:rsidRPr="00000000">
        <w:rPr>
          <w:sz w:val="24"/>
          <w:szCs w:val="24"/>
          <w:rtl w:val="0"/>
        </w:rPr>
        <w:t xml:space="preserve"> or </w:t>
      </w:r>
      <w:r w:rsidDel="00000000" w:rsidR="00000000" w:rsidRPr="00000000">
        <w:rPr>
          <w:b w:val="1"/>
          <w:sz w:val="24"/>
          <w:szCs w:val="24"/>
          <w:rtl w:val="0"/>
        </w:rPr>
        <w:t xml:space="preserve">Ozak AI</w:t>
      </w:r>
      <w:r w:rsidDel="00000000" w:rsidR="00000000" w:rsidRPr="00000000">
        <w:rPr>
          <w:sz w:val="24"/>
          <w:szCs w:val="24"/>
          <w:rtl w:val="0"/>
        </w:rPr>
        <w:t xml:space="preserve"> have attracted significant attention, but they often lack compliance clarity. $IPO’s </w:t>
      </w:r>
      <w:r w:rsidDel="00000000" w:rsidR="00000000" w:rsidRPr="00000000">
        <w:rPr>
          <w:b w:val="1"/>
          <w:sz w:val="24"/>
          <w:szCs w:val="24"/>
          <w:rtl w:val="0"/>
        </w:rPr>
        <w:t xml:space="preserve">regulated hedge fund structure</w:t>
      </w:r>
      <w:r w:rsidDel="00000000" w:rsidR="00000000" w:rsidRPr="00000000">
        <w:rPr>
          <w:sz w:val="24"/>
          <w:szCs w:val="24"/>
          <w:rtl w:val="0"/>
        </w:rPr>
        <w:t xml:space="preserve"> provides a clear legal foundation, enabling cross-border investor participation without the regulatory headaches facing many rivals.</w:t>
      </w:r>
    </w:p>
    <w:p w:rsidR="00000000" w:rsidDel="00000000" w:rsidP="00000000" w:rsidRDefault="00000000" w:rsidRPr="00000000" w14:paraId="00000011">
      <w:pPr>
        <w:spacing w:after="240" w:before="240" w:lineRule="auto"/>
        <w:jc w:val="both"/>
        <w:rPr>
          <w:sz w:val="24"/>
          <w:szCs w:val="24"/>
        </w:rPr>
      </w:pPr>
      <w:r w:rsidDel="00000000" w:rsidR="00000000" w:rsidRPr="00000000">
        <w:rPr>
          <w:sz w:val="24"/>
          <w:szCs w:val="24"/>
          <w:rtl w:val="0"/>
        </w:rPr>
        <w:t xml:space="preserve">Analysts also highlight the </w:t>
      </w:r>
      <w:r w:rsidDel="00000000" w:rsidR="00000000" w:rsidRPr="00000000">
        <w:rPr>
          <w:b w:val="1"/>
          <w:sz w:val="24"/>
          <w:szCs w:val="24"/>
          <w:rtl w:val="0"/>
        </w:rPr>
        <w:t xml:space="preserve">20× potential growth trajectory</w:t>
      </w:r>
      <w:r w:rsidDel="00000000" w:rsidR="00000000" w:rsidRPr="00000000">
        <w:rPr>
          <w:sz w:val="24"/>
          <w:szCs w:val="24"/>
          <w:rtl w:val="0"/>
        </w:rPr>
        <w:t xml:space="preserve"> of $IPO, noting parallels with Solana’s early adoption curve, where institutional support and retail demand combined to propel massive upside.</w:t>
      </w:r>
    </w:p>
    <w:p w:rsidR="00000000" w:rsidDel="00000000" w:rsidP="00000000" w:rsidRDefault="00000000" w:rsidRPr="00000000" w14:paraId="00000012">
      <w:pPr>
        <w:spacing w:after="240" w:before="240" w:lineRule="auto"/>
        <w:jc w:val="both"/>
        <w:rPr>
          <w:sz w:val="24"/>
          <w:szCs w:val="24"/>
        </w:rPr>
      </w:pPr>
      <w:hyperlink r:id="rId10">
        <w:r w:rsidDel="00000000" w:rsidR="00000000" w:rsidRPr="00000000">
          <w:rPr>
            <w:color w:val="1155cc"/>
            <w:sz w:val="24"/>
            <w:szCs w:val="24"/>
            <w:u w:val="single"/>
          </w:rPr>
          <w:drawing>
            <wp:inline distB="114300" distT="114300" distL="114300" distR="114300">
              <wp:extent cx="5943600" cy="7874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787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3">
      <w:pPr>
        <w:pStyle w:val="Heading2"/>
        <w:jc w:val="both"/>
        <w:rPr>
          <w:b w:val="1"/>
        </w:rPr>
      </w:pPr>
      <w:bookmarkStart w:colFirst="0" w:colLast="0" w:name="_vi3p4p1iayo8" w:id="4"/>
      <w:bookmarkEnd w:id="4"/>
      <w:r w:rsidDel="00000000" w:rsidR="00000000" w:rsidRPr="00000000">
        <w:rPr>
          <w:b w:val="1"/>
          <w:rtl w:val="0"/>
        </w:rPr>
        <w:t xml:space="preserve">Institutional Partnerships Drive Credibility</w:t>
      </w:r>
    </w:p>
    <w:p w:rsidR="00000000" w:rsidDel="00000000" w:rsidP="00000000" w:rsidRDefault="00000000" w:rsidRPr="00000000" w14:paraId="00000014">
      <w:pPr>
        <w:spacing w:after="240" w:before="240" w:lineRule="auto"/>
        <w:jc w:val="both"/>
        <w:rPr>
          <w:sz w:val="24"/>
          <w:szCs w:val="24"/>
        </w:rPr>
      </w:pPr>
      <w:r w:rsidDel="00000000" w:rsidR="00000000" w:rsidRPr="00000000">
        <w:rPr>
          <w:sz w:val="24"/>
          <w:szCs w:val="24"/>
          <w:rtl w:val="0"/>
        </w:rPr>
        <w:t xml:space="preserve">Fundamentals matter, and $IPO has secured them. The platform’s early partnerships with established hedge funds and venture networks, some tied to </w:t>
      </w:r>
      <w:r w:rsidDel="00000000" w:rsidR="00000000" w:rsidRPr="00000000">
        <w:rPr>
          <w:b w:val="1"/>
          <w:sz w:val="24"/>
          <w:szCs w:val="24"/>
          <w:rtl w:val="0"/>
        </w:rPr>
        <w:t xml:space="preserve">Sequoia, a16z, and Benchmark portfolios</w:t>
      </w:r>
      <w:r w:rsidDel="00000000" w:rsidR="00000000" w:rsidRPr="00000000">
        <w:rPr>
          <w:sz w:val="24"/>
          <w:szCs w:val="24"/>
          <w:rtl w:val="0"/>
        </w:rPr>
        <w:t xml:space="preserve">, </w:t>
      </w:r>
      <w:r w:rsidDel="00000000" w:rsidR="00000000" w:rsidRPr="00000000">
        <w:rPr>
          <w:sz w:val="24"/>
          <w:szCs w:val="24"/>
          <w:rtl w:val="0"/>
        </w:rPr>
        <w:t xml:space="preserve">mean that deal flow isn’t theoretical. Investors gain access to </w:t>
      </w:r>
      <w:r w:rsidDel="00000000" w:rsidR="00000000" w:rsidRPr="00000000">
        <w:rPr>
          <w:b w:val="1"/>
          <w:sz w:val="24"/>
          <w:szCs w:val="24"/>
          <w:rtl w:val="0"/>
        </w:rPr>
        <w:t xml:space="preserve">curated, vetted opportunities</w:t>
      </w:r>
      <w:r w:rsidDel="00000000" w:rsidR="00000000" w:rsidRPr="00000000">
        <w:rPr>
          <w:sz w:val="24"/>
          <w:szCs w:val="24"/>
          <w:rtl w:val="0"/>
        </w:rPr>
        <w:t xml:space="preserve"> instead of speculative promises.</w:t>
      </w:r>
    </w:p>
    <w:p w:rsidR="00000000" w:rsidDel="00000000" w:rsidP="00000000" w:rsidRDefault="00000000" w:rsidRPr="00000000" w14:paraId="00000015">
      <w:pPr>
        <w:spacing w:after="240" w:before="240" w:lineRule="auto"/>
        <w:jc w:val="both"/>
        <w:rPr>
          <w:sz w:val="24"/>
          <w:szCs w:val="24"/>
        </w:rPr>
      </w:pPr>
      <w:r w:rsidDel="00000000" w:rsidR="00000000" w:rsidRPr="00000000">
        <w:rPr>
          <w:sz w:val="24"/>
          <w:szCs w:val="24"/>
          <w:rtl w:val="0"/>
        </w:rPr>
        <w:t xml:space="preserve">Meanwhile, $IPO’s technical framework stands on firm ground:</w:t>
      </w:r>
    </w:p>
    <w:p w:rsidR="00000000" w:rsidDel="00000000" w:rsidP="00000000" w:rsidRDefault="00000000" w:rsidRPr="00000000" w14:paraId="00000016">
      <w:pPr>
        <w:numPr>
          <w:ilvl w:val="0"/>
          <w:numId w:val="1"/>
        </w:numPr>
        <w:spacing w:after="0" w:afterAutospacing="0" w:before="240" w:lineRule="auto"/>
        <w:ind w:left="720" w:hanging="360"/>
        <w:jc w:val="both"/>
        <w:rPr>
          <w:sz w:val="24"/>
          <w:szCs w:val="24"/>
        </w:rPr>
      </w:pPr>
      <w:r w:rsidDel="00000000" w:rsidR="00000000" w:rsidRPr="00000000">
        <w:rPr>
          <w:b w:val="1"/>
          <w:sz w:val="24"/>
          <w:szCs w:val="24"/>
          <w:rtl w:val="0"/>
        </w:rPr>
        <w:t xml:space="preserve">CertiK Audits</w:t>
      </w:r>
      <w:r w:rsidDel="00000000" w:rsidR="00000000" w:rsidRPr="00000000">
        <w:rPr>
          <w:sz w:val="24"/>
          <w:szCs w:val="24"/>
          <w:rtl w:val="0"/>
        </w:rPr>
        <w:t xml:space="preserve"> validate the smart contracts.</w:t>
      </w:r>
    </w:p>
    <w:p w:rsidR="00000000" w:rsidDel="00000000" w:rsidP="00000000" w:rsidRDefault="00000000" w:rsidRPr="00000000" w14:paraId="00000017">
      <w:pPr>
        <w:numPr>
          <w:ilvl w:val="0"/>
          <w:numId w:val="1"/>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Fireblocks Custody</w:t>
      </w:r>
      <w:r w:rsidDel="00000000" w:rsidR="00000000" w:rsidRPr="00000000">
        <w:rPr>
          <w:sz w:val="24"/>
          <w:szCs w:val="24"/>
          <w:rtl w:val="0"/>
        </w:rPr>
        <w:t xml:space="preserve"> ensures institutional-grade asset protection.</w:t>
      </w:r>
    </w:p>
    <w:p w:rsidR="00000000" w:rsidDel="00000000" w:rsidP="00000000" w:rsidRDefault="00000000" w:rsidRPr="00000000" w14:paraId="00000018">
      <w:pPr>
        <w:numPr>
          <w:ilvl w:val="0"/>
          <w:numId w:val="1"/>
        </w:numPr>
        <w:spacing w:after="240" w:before="0" w:beforeAutospacing="0" w:lineRule="auto"/>
        <w:ind w:left="720" w:hanging="360"/>
        <w:jc w:val="both"/>
        <w:rPr>
          <w:sz w:val="24"/>
          <w:szCs w:val="24"/>
        </w:rPr>
      </w:pPr>
      <w:r w:rsidDel="00000000" w:rsidR="00000000" w:rsidRPr="00000000">
        <w:rPr>
          <w:b w:val="1"/>
          <w:sz w:val="24"/>
          <w:szCs w:val="24"/>
          <w:rtl w:val="0"/>
        </w:rPr>
        <w:t xml:space="preserve">Chainlink Oracles</w:t>
      </w:r>
      <w:r w:rsidDel="00000000" w:rsidR="00000000" w:rsidRPr="00000000">
        <w:rPr>
          <w:sz w:val="24"/>
          <w:szCs w:val="24"/>
          <w:rtl w:val="0"/>
        </w:rPr>
        <w:t xml:space="preserve"> deliver real-world milestone data directly on-chain.</w:t>
      </w:r>
    </w:p>
    <w:p w:rsidR="00000000" w:rsidDel="00000000" w:rsidP="00000000" w:rsidRDefault="00000000" w:rsidRPr="00000000" w14:paraId="00000019">
      <w:pPr>
        <w:spacing w:after="240" w:before="240" w:lineRule="auto"/>
        <w:jc w:val="both"/>
        <w:rPr>
          <w:sz w:val="24"/>
          <w:szCs w:val="24"/>
        </w:rPr>
      </w:pPr>
      <w:r w:rsidDel="00000000" w:rsidR="00000000" w:rsidRPr="00000000">
        <w:rPr>
          <w:sz w:val="24"/>
          <w:szCs w:val="24"/>
          <w:rtl w:val="0"/>
        </w:rPr>
        <w:t xml:space="preserve">These safeguards create trust, which is a critical factor as presale scams continue to plague the market.</w:t>
      </w:r>
    </w:p>
    <w:p w:rsidR="00000000" w:rsidDel="00000000" w:rsidP="00000000" w:rsidRDefault="00000000" w:rsidRPr="00000000" w14:paraId="0000001A">
      <w:pPr>
        <w:pStyle w:val="Heading2"/>
        <w:jc w:val="both"/>
        <w:rPr>
          <w:b w:val="1"/>
        </w:rPr>
      </w:pPr>
      <w:bookmarkStart w:colFirst="0" w:colLast="0" w:name="_624k7uuq5kks" w:id="5"/>
      <w:bookmarkEnd w:id="5"/>
      <w:r w:rsidDel="00000000" w:rsidR="00000000" w:rsidRPr="00000000">
        <w:rPr>
          <w:b w:val="1"/>
          <w:rtl w:val="0"/>
        </w:rPr>
        <w:t xml:space="preserve">Tokenomics That Favor Early Adopters</w:t>
      </w:r>
    </w:p>
    <w:p w:rsidR="00000000" w:rsidDel="00000000" w:rsidP="00000000" w:rsidRDefault="00000000" w:rsidRPr="00000000" w14:paraId="0000001B">
      <w:pPr>
        <w:spacing w:after="240" w:before="240" w:lineRule="auto"/>
        <w:jc w:val="both"/>
        <w:rPr>
          <w:sz w:val="24"/>
          <w:szCs w:val="24"/>
        </w:rPr>
      </w:pPr>
      <w:r w:rsidDel="00000000" w:rsidR="00000000" w:rsidRPr="00000000">
        <w:rPr>
          <w:sz w:val="24"/>
          <w:szCs w:val="24"/>
          <w:rtl w:val="0"/>
        </w:rPr>
        <w:t xml:space="preserve">The $IPO tokenomics model reinforces long-term value:</w:t>
      </w:r>
    </w:p>
    <w:p w:rsidR="00000000" w:rsidDel="00000000" w:rsidP="00000000" w:rsidRDefault="00000000" w:rsidRPr="00000000" w14:paraId="0000001C">
      <w:pPr>
        <w:numPr>
          <w:ilvl w:val="0"/>
          <w:numId w:val="4"/>
        </w:numPr>
        <w:spacing w:after="0" w:afterAutospacing="0" w:before="240" w:lineRule="auto"/>
        <w:ind w:left="720" w:hanging="360"/>
        <w:jc w:val="both"/>
        <w:rPr>
          <w:sz w:val="24"/>
          <w:szCs w:val="24"/>
        </w:rPr>
      </w:pPr>
      <w:r w:rsidDel="00000000" w:rsidR="00000000" w:rsidRPr="00000000">
        <w:rPr>
          <w:b w:val="1"/>
          <w:sz w:val="24"/>
          <w:szCs w:val="24"/>
          <w:rtl w:val="0"/>
        </w:rPr>
        <w:t xml:space="preserve">Presale Allocation:</w:t>
      </w:r>
      <w:r w:rsidDel="00000000" w:rsidR="00000000" w:rsidRPr="00000000">
        <w:rPr>
          <w:sz w:val="24"/>
          <w:szCs w:val="24"/>
          <w:rtl w:val="0"/>
        </w:rPr>
        <w:t xml:space="preserve"> Tokens offered at a low starting price for early participants.</w:t>
      </w:r>
    </w:p>
    <w:p w:rsidR="00000000" w:rsidDel="00000000" w:rsidP="00000000" w:rsidRDefault="00000000" w:rsidRPr="00000000" w14:paraId="0000001D">
      <w:pPr>
        <w:numPr>
          <w:ilvl w:val="0"/>
          <w:numId w:val="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Liquidity Pool:</w:t>
      </w:r>
      <w:r w:rsidDel="00000000" w:rsidR="00000000" w:rsidRPr="00000000">
        <w:rPr>
          <w:sz w:val="24"/>
          <w:szCs w:val="24"/>
          <w:rtl w:val="0"/>
        </w:rPr>
        <w:t xml:space="preserve"> Released at TGE to help stabilize early trading.</w:t>
      </w:r>
    </w:p>
    <w:p w:rsidR="00000000" w:rsidDel="00000000" w:rsidP="00000000" w:rsidRDefault="00000000" w:rsidRPr="00000000" w14:paraId="0000001E">
      <w:pPr>
        <w:numPr>
          <w:ilvl w:val="0"/>
          <w:numId w:val="4"/>
        </w:numPr>
        <w:spacing w:after="240" w:before="0" w:beforeAutospacing="0" w:lineRule="auto"/>
        <w:ind w:left="720" w:hanging="360"/>
        <w:jc w:val="both"/>
        <w:rPr>
          <w:sz w:val="24"/>
          <w:szCs w:val="24"/>
        </w:rPr>
      </w:pPr>
      <w:r w:rsidDel="00000000" w:rsidR="00000000" w:rsidRPr="00000000">
        <w:rPr>
          <w:b w:val="1"/>
          <w:sz w:val="24"/>
          <w:szCs w:val="24"/>
          <w:rtl w:val="0"/>
        </w:rPr>
        <w:t xml:space="preserve">Deflationary Design:</w:t>
      </w:r>
      <w:r w:rsidDel="00000000" w:rsidR="00000000" w:rsidRPr="00000000">
        <w:rPr>
          <w:sz w:val="24"/>
          <w:szCs w:val="24"/>
          <w:rtl w:val="0"/>
        </w:rPr>
        <w:t xml:space="preserve"> Includes revenue-funded buybacks and staking rewards to reduce circulating supply.</w:t>
      </w:r>
      <w:r w:rsidDel="00000000" w:rsidR="00000000" w:rsidRPr="00000000">
        <w:rPr>
          <w:rtl w:val="0"/>
        </w:rPr>
      </w:r>
    </w:p>
    <w:p w:rsidR="00000000" w:rsidDel="00000000" w:rsidP="00000000" w:rsidRDefault="00000000" w:rsidRPr="00000000" w14:paraId="0000001F">
      <w:pPr>
        <w:spacing w:after="240" w:before="240" w:lineRule="auto"/>
        <w:jc w:val="both"/>
        <w:rPr>
          <w:sz w:val="24"/>
          <w:szCs w:val="24"/>
        </w:rPr>
      </w:pPr>
      <w:r w:rsidDel="00000000" w:rsidR="00000000" w:rsidRPr="00000000">
        <w:rPr>
          <w:sz w:val="24"/>
          <w:szCs w:val="24"/>
          <w:rtl w:val="0"/>
        </w:rPr>
        <w:t xml:space="preserve">Bronze, Silver, Gold, and Platinum tiers reward holders with deeper deal access, co-investment rights, and revenue-sharing opportunities. This </w:t>
      </w:r>
      <w:r w:rsidDel="00000000" w:rsidR="00000000" w:rsidRPr="00000000">
        <w:rPr>
          <w:b w:val="1"/>
          <w:sz w:val="24"/>
          <w:szCs w:val="24"/>
          <w:rtl w:val="0"/>
        </w:rPr>
        <w:t xml:space="preserve">utility-first structure</w:t>
      </w:r>
      <w:r w:rsidDel="00000000" w:rsidR="00000000" w:rsidRPr="00000000">
        <w:rPr>
          <w:sz w:val="24"/>
          <w:szCs w:val="24"/>
          <w:rtl w:val="0"/>
        </w:rPr>
        <w:t xml:space="preserve"> drives organic demand beyond speculation.</w:t>
      </w:r>
    </w:p>
    <w:p w:rsidR="00000000" w:rsidDel="00000000" w:rsidP="00000000" w:rsidRDefault="00000000" w:rsidRPr="00000000" w14:paraId="00000020">
      <w:pPr>
        <w:pStyle w:val="Heading2"/>
        <w:jc w:val="both"/>
        <w:rPr>
          <w:b w:val="1"/>
        </w:rPr>
      </w:pPr>
      <w:bookmarkStart w:colFirst="0" w:colLast="0" w:name="_sy2n5xtbilzd" w:id="6"/>
      <w:bookmarkEnd w:id="6"/>
      <w:r w:rsidDel="00000000" w:rsidR="00000000" w:rsidRPr="00000000">
        <w:rPr>
          <w:b w:val="1"/>
          <w:rtl w:val="0"/>
        </w:rPr>
        <w:t xml:space="preserve">Why Experts See Outperformance Potential</w:t>
      </w:r>
    </w:p>
    <w:p w:rsidR="00000000" w:rsidDel="00000000" w:rsidP="00000000" w:rsidRDefault="00000000" w:rsidRPr="00000000" w14:paraId="00000021">
      <w:pPr>
        <w:spacing w:after="240" w:before="240" w:lineRule="auto"/>
        <w:jc w:val="both"/>
        <w:rPr>
          <w:sz w:val="24"/>
          <w:szCs w:val="24"/>
        </w:rPr>
      </w:pPr>
      <w:r w:rsidDel="00000000" w:rsidR="00000000" w:rsidRPr="00000000">
        <w:rPr>
          <w:sz w:val="24"/>
          <w:szCs w:val="24"/>
          <w:rtl w:val="0"/>
        </w:rPr>
        <w:t xml:space="preserve">Crypto experts predict the $IPO could </w:t>
      </w:r>
      <w:r w:rsidDel="00000000" w:rsidR="00000000" w:rsidRPr="00000000">
        <w:rPr>
          <w:b w:val="1"/>
          <w:sz w:val="24"/>
          <w:szCs w:val="24"/>
          <w:rtl w:val="0"/>
        </w:rPr>
        <w:t xml:space="preserve">outperform 2025’s top presales</w:t>
      </w:r>
      <w:r w:rsidDel="00000000" w:rsidR="00000000" w:rsidRPr="00000000">
        <w:rPr>
          <w:sz w:val="24"/>
          <w:szCs w:val="24"/>
          <w:rtl w:val="0"/>
        </w:rPr>
        <w:t xml:space="preserve"> for three reasons:</w:t>
      </w:r>
    </w:p>
    <w:p w:rsidR="00000000" w:rsidDel="00000000" w:rsidP="00000000" w:rsidRDefault="00000000" w:rsidRPr="00000000" w14:paraId="00000022">
      <w:pPr>
        <w:numPr>
          <w:ilvl w:val="0"/>
          <w:numId w:val="3"/>
        </w:numPr>
        <w:spacing w:after="0" w:afterAutospacing="0" w:before="240" w:lineRule="auto"/>
        <w:ind w:left="720" w:hanging="360"/>
        <w:jc w:val="both"/>
        <w:rPr>
          <w:sz w:val="24"/>
          <w:szCs w:val="24"/>
        </w:rPr>
      </w:pPr>
      <w:r w:rsidDel="00000000" w:rsidR="00000000" w:rsidRPr="00000000">
        <w:rPr>
          <w:b w:val="1"/>
          <w:sz w:val="24"/>
          <w:szCs w:val="24"/>
          <w:rtl w:val="0"/>
        </w:rPr>
        <w:t xml:space="preserve">Compliance:</w:t>
      </w:r>
      <w:r w:rsidDel="00000000" w:rsidR="00000000" w:rsidRPr="00000000">
        <w:rPr>
          <w:sz w:val="24"/>
          <w:szCs w:val="24"/>
          <w:rtl w:val="0"/>
        </w:rPr>
        <w:t xml:space="preserve"> STO alignment ensures scalability as regulations tighten globally.</w:t>
      </w:r>
    </w:p>
    <w:p w:rsidR="00000000" w:rsidDel="00000000" w:rsidP="00000000" w:rsidRDefault="00000000" w:rsidRPr="00000000" w14:paraId="00000023">
      <w:pPr>
        <w:numPr>
          <w:ilvl w:val="0"/>
          <w:numId w:val="3"/>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Utility:</w:t>
      </w:r>
      <w:r w:rsidDel="00000000" w:rsidR="00000000" w:rsidRPr="00000000">
        <w:rPr>
          <w:sz w:val="24"/>
          <w:szCs w:val="24"/>
          <w:rtl w:val="0"/>
        </w:rPr>
        <w:t xml:space="preserve"> Access to $3T private markets is unmatched in scope.</w:t>
      </w:r>
    </w:p>
    <w:p w:rsidR="00000000" w:rsidDel="00000000" w:rsidP="00000000" w:rsidRDefault="00000000" w:rsidRPr="00000000" w14:paraId="00000024">
      <w:pPr>
        <w:numPr>
          <w:ilvl w:val="0"/>
          <w:numId w:val="3"/>
        </w:numPr>
        <w:spacing w:after="240" w:before="0" w:beforeAutospacing="0" w:lineRule="auto"/>
        <w:ind w:left="720" w:hanging="360"/>
        <w:jc w:val="both"/>
        <w:rPr>
          <w:sz w:val="24"/>
          <w:szCs w:val="24"/>
        </w:rPr>
      </w:pPr>
      <w:r w:rsidDel="00000000" w:rsidR="00000000" w:rsidRPr="00000000">
        <w:rPr>
          <w:b w:val="1"/>
          <w:sz w:val="24"/>
          <w:szCs w:val="24"/>
          <w:rtl w:val="0"/>
        </w:rPr>
        <w:t xml:space="preserve">Timing:</w:t>
      </w:r>
      <w:r w:rsidDel="00000000" w:rsidR="00000000" w:rsidRPr="00000000">
        <w:rPr>
          <w:sz w:val="24"/>
          <w:szCs w:val="24"/>
          <w:rtl w:val="0"/>
        </w:rPr>
        <w:t xml:space="preserve"> With AI-driven tokens already tripling in 2025 funding, $IPO sits at the intersection of the hottest trend and the strongest fundamentals.</w:t>
      </w:r>
    </w:p>
    <w:p w:rsidR="00000000" w:rsidDel="00000000" w:rsidP="00000000" w:rsidRDefault="00000000" w:rsidRPr="00000000" w14:paraId="00000025">
      <w:pPr>
        <w:spacing w:after="240" w:before="240" w:lineRule="auto"/>
        <w:jc w:val="both"/>
        <w:rPr>
          <w:sz w:val="24"/>
          <w:szCs w:val="24"/>
        </w:rPr>
      </w:pPr>
      <w:r w:rsidDel="00000000" w:rsidR="00000000" w:rsidRPr="00000000">
        <w:rPr>
          <w:sz w:val="24"/>
          <w:szCs w:val="24"/>
          <w:rtl w:val="0"/>
        </w:rPr>
        <w:t xml:space="preserve">This trifecta positions $IPO to capture investors chasing both innovation and safety.</w:t>
      </w:r>
    </w:p>
    <w:p w:rsidR="00000000" w:rsidDel="00000000" w:rsidP="00000000" w:rsidRDefault="00000000" w:rsidRPr="00000000" w14:paraId="00000026">
      <w:pPr>
        <w:pStyle w:val="Heading2"/>
        <w:jc w:val="both"/>
        <w:rPr>
          <w:b w:val="1"/>
        </w:rPr>
      </w:pPr>
      <w:bookmarkStart w:colFirst="0" w:colLast="0" w:name="_tn43kgu1bd0y" w:id="7"/>
      <w:bookmarkEnd w:id="7"/>
      <w:r w:rsidDel="00000000" w:rsidR="00000000" w:rsidRPr="00000000">
        <w:rPr>
          <w:b w:val="1"/>
          <w:rtl w:val="0"/>
        </w:rPr>
        <w:t xml:space="preserve">Early Entry Matters</w:t>
      </w:r>
    </w:p>
    <w:p w:rsidR="00000000" w:rsidDel="00000000" w:rsidP="00000000" w:rsidRDefault="00000000" w:rsidRPr="00000000" w14:paraId="00000027">
      <w:pPr>
        <w:spacing w:after="240" w:before="240" w:lineRule="auto"/>
        <w:jc w:val="both"/>
        <w:rPr>
          <w:sz w:val="24"/>
          <w:szCs w:val="24"/>
        </w:rPr>
      </w:pPr>
      <w:r w:rsidDel="00000000" w:rsidR="00000000" w:rsidRPr="00000000">
        <w:rPr>
          <w:sz w:val="24"/>
          <w:szCs w:val="24"/>
          <w:rtl w:val="0"/>
        </w:rPr>
        <w:t xml:space="preserve">Momentum is building. Stage 1 allocations are already filling quickly, with thousands of investors joining the whitelist each week. As prices rise across presale stages, analysts emphasize that </w:t>
      </w:r>
      <w:r w:rsidDel="00000000" w:rsidR="00000000" w:rsidRPr="00000000">
        <w:rPr>
          <w:b w:val="1"/>
          <w:sz w:val="24"/>
          <w:szCs w:val="24"/>
          <w:rtl w:val="0"/>
        </w:rPr>
        <w:t xml:space="preserve">early participation maximizes upside</w:t>
      </w:r>
      <w:r w:rsidDel="00000000" w:rsidR="00000000" w:rsidRPr="00000000">
        <w:rPr>
          <w:sz w:val="24"/>
          <w:szCs w:val="24"/>
          <w:rtl w:val="0"/>
        </w:rPr>
        <w:t xml:space="preserve">.</w:t>
      </w:r>
    </w:p>
    <w:p w:rsidR="00000000" w:rsidDel="00000000" w:rsidP="00000000" w:rsidRDefault="00000000" w:rsidRPr="00000000" w14:paraId="00000028">
      <w:pPr>
        <w:spacing w:after="240" w:before="240" w:lineRule="auto"/>
        <w:jc w:val="both"/>
        <w:rPr>
          <w:sz w:val="24"/>
          <w:szCs w:val="24"/>
        </w:rPr>
      </w:pPr>
      <w:r w:rsidDel="00000000" w:rsidR="00000000" w:rsidRPr="00000000">
        <w:rPr>
          <w:sz w:val="24"/>
          <w:szCs w:val="24"/>
          <w:rtl w:val="0"/>
        </w:rPr>
        <w:t xml:space="preserve">For investors who missed early Ethereum or Solana opportunities, $IPO represents a </w:t>
      </w:r>
      <w:r w:rsidDel="00000000" w:rsidR="00000000" w:rsidRPr="00000000">
        <w:rPr>
          <w:b w:val="1"/>
          <w:sz w:val="24"/>
          <w:szCs w:val="24"/>
          <w:rtl w:val="0"/>
        </w:rPr>
        <w:t xml:space="preserve">second chance at first-mover advantage</w:t>
      </w:r>
      <w:r w:rsidDel="00000000" w:rsidR="00000000" w:rsidRPr="00000000">
        <w:rPr>
          <w:sz w:val="24"/>
          <w:szCs w:val="24"/>
          <w:rtl w:val="0"/>
        </w:rPr>
        <w:t xml:space="preserve">, </w:t>
      </w:r>
      <w:r w:rsidDel="00000000" w:rsidR="00000000" w:rsidRPr="00000000">
        <w:rPr>
          <w:sz w:val="24"/>
          <w:szCs w:val="24"/>
          <w:rtl w:val="0"/>
        </w:rPr>
        <w:t xml:space="preserve">but with the added benefit of regulatory compliance and institutional-grade backing.</w:t>
      </w:r>
    </w:p>
    <w:p w:rsidR="00000000" w:rsidDel="00000000" w:rsidP="00000000" w:rsidRDefault="00000000" w:rsidRPr="00000000" w14:paraId="00000029">
      <w:pPr>
        <w:spacing w:after="240" w:before="240" w:lineRule="auto"/>
        <w:jc w:val="both"/>
        <w:rPr>
          <w:sz w:val="24"/>
          <w:szCs w:val="24"/>
        </w:rPr>
      </w:pPr>
      <w:r w:rsidDel="00000000" w:rsidR="00000000" w:rsidRPr="00000000">
        <w:rPr>
          <w:sz w:val="24"/>
          <w:szCs w:val="24"/>
          <w:rtl w:val="0"/>
        </w:rPr>
        <w:t xml:space="preserve">For more information about IPO Genie:</w:t>
      </w:r>
    </w:p>
    <w:p w:rsidR="00000000" w:rsidDel="00000000" w:rsidP="00000000" w:rsidRDefault="00000000" w:rsidRPr="00000000" w14:paraId="0000002A">
      <w:pPr>
        <w:spacing w:after="240" w:before="240" w:lineRule="auto"/>
        <w:jc w:val="both"/>
        <w:rPr>
          <w:sz w:val="24"/>
          <w:szCs w:val="24"/>
        </w:rPr>
      </w:pPr>
      <w:hyperlink r:id="rId12">
        <w:r w:rsidDel="00000000" w:rsidR="00000000" w:rsidRPr="00000000">
          <w:rPr>
            <w:color w:val="1155cc"/>
            <w:sz w:val="24"/>
            <w:szCs w:val="24"/>
            <w:u w:val="single"/>
            <w:rtl w:val="0"/>
          </w:rPr>
          <w:t xml:space="preserve">Website URL</w:t>
        </w:r>
      </w:hyperlink>
      <w:r w:rsidDel="00000000" w:rsidR="00000000" w:rsidRPr="00000000">
        <w:rPr>
          <w:sz w:val="24"/>
          <w:szCs w:val="24"/>
          <w:rtl w:val="0"/>
        </w:rPr>
        <w:t xml:space="preserve"> | </w:t>
      </w:r>
      <w:hyperlink r:id="rId13">
        <w:r w:rsidDel="00000000" w:rsidR="00000000" w:rsidRPr="00000000">
          <w:rPr>
            <w:color w:val="1155cc"/>
            <w:sz w:val="24"/>
            <w:szCs w:val="24"/>
            <w:u w:val="single"/>
            <w:rtl w:val="0"/>
          </w:rPr>
          <w:t xml:space="preserve">X (Twitter)</w:t>
        </w:r>
      </w:hyperlink>
      <w:r w:rsidDel="00000000" w:rsidR="00000000" w:rsidRPr="00000000">
        <w:rPr>
          <w:sz w:val="24"/>
          <w:szCs w:val="24"/>
          <w:rtl w:val="0"/>
        </w:rPr>
        <w:t xml:space="preserve"> | </w:t>
      </w:r>
      <w:hyperlink r:id="rId14">
        <w:r w:rsidDel="00000000" w:rsidR="00000000" w:rsidRPr="00000000">
          <w:rPr>
            <w:color w:val="1155cc"/>
            <w:sz w:val="24"/>
            <w:szCs w:val="24"/>
            <w:u w:val="single"/>
            <w:rtl w:val="0"/>
          </w:rPr>
          <w:t xml:space="preserve">Telegram Community</w:t>
        </w:r>
      </w:hyperlink>
      <w:r w:rsidDel="00000000" w:rsidR="00000000" w:rsidRPr="00000000">
        <w:rPr>
          <w:rtl w:val="0"/>
        </w:rPr>
      </w:r>
    </w:p>
    <w:p w:rsidR="00000000" w:rsidDel="00000000" w:rsidP="00000000" w:rsidRDefault="00000000" w:rsidRPr="00000000" w14:paraId="0000002B">
      <w:pPr>
        <w:spacing w:after="240" w:before="240" w:lineRule="auto"/>
        <w:jc w:val="both"/>
        <w:rPr>
          <w:sz w:val="24"/>
          <w:szCs w:val="24"/>
        </w:rPr>
      </w:pPr>
      <w:hyperlink r:id="rId15">
        <w:r w:rsidDel="00000000" w:rsidR="00000000" w:rsidRPr="00000000">
          <w:rPr>
            <w:color w:val="1155cc"/>
            <w:sz w:val="24"/>
            <w:szCs w:val="24"/>
            <w:u w:val="single"/>
          </w:rPr>
          <w:drawing>
            <wp:inline distB="114300" distT="114300" distL="114300" distR="114300">
              <wp:extent cx="5943600" cy="787400"/>
              <wp:effectExtent b="0" l="0" r="0" t="0"/>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787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C">
      <w:pPr>
        <w:spacing w:after="240" w:before="240" w:lineRule="auto"/>
        <w:jc w:val="both"/>
        <w:rPr>
          <w:sz w:val="24"/>
          <w:szCs w:val="24"/>
        </w:rPr>
      </w:pPr>
      <w:r w:rsidDel="00000000" w:rsidR="00000000" w:rsidRPr="00000000">
        <w:rPr>
          <w:b w:val="1"/>
          <w:sz w:val="24"/>
          <w:szCs w:val="24"/>
          <w:rtl w:val="0"/>
        </w:rPr>
        <w:t xml:space="preserve">Disclaimer:</w:t>
      </w:r>
      <w:r w:rsidDel="00000000" w:rsidR="00000000" w:rsidRPr="00000000">
        <w:rPr>
          <w:sz w:val="24"/>
          <w:szCs w:val="24"/>
          <w:rtl w:val="0"/>
        </w:rPr>
        <w:t xml:space="preserve"> </w:t>
      </w:r>
      <w:r w:rsidDel="00000000" w:rsidR="00000000" w:rsidRPr="00000000">
        <w:rPr>
          <w:b w:val="1"/>
          <w:sz w:val="24"/>
          <w:szCs w:val="24"/>
          <w:rtl w:val="0"/>
        </w:rPr>
        <w:t xml:space="preserve">Crypto presale opportunities</w:t>
      </w:r>
      <w:r w:rsidDel="00000000" w:rsidR="00000000" w:rsidRPr="00000000">
        <w:rPr>
          <w:sz w:val="24"/>
          <w:szCs w:val="24"/>
          <w:rtl w:val="0"/>
        </w:rPr>
        <w:t xml:space="preserve"> carry significant risks, including potential total loss. Past market performance is not indicative of future results.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ipogenie.ai/?utm_source=Blockchain%20Reporter&amp;utm_medium=Article&amp;utm_term=G1&amp;utm_campaign=Experts%20Predict%20%24IPO%20Could%20Outperform%20Top%205%20Crypto%20Presales%20of%202025" TargetMode="External"/><Relationship Id="rId13" Type="http://schemas.openxmlformats.org/officeDocument/2006/relationships/hyperlink" Target="https://ipogenie.ai/x?utm_source=Blockchain%20Reporter&amp;utm_medium=Article&amp;utm_term=G1&amp;utm_campaign=Experts%20Predict%20%24IPO%20Could%20Outperform%20Top%205%20Crypto%20Presales%20of%202025" TargetMode="External"/><Relationship Id="rId12" Type="http://schemas.openxmlformats.org/officeDocument/2006/relationships/hyperlink" Target="https://ipogenie.ai/?utm_source=Blockchain%20Reporter&amp;utm_medium=Article&amp;utm_term=G1&amp;utm_campaign=Experts%20Predict%20%24IPO%20Could%20Outperform%20Top%205%20Crypto%20Presales%20of%20202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dera.com/learning/tokens/what-is-a-security-token-offering-sto" TargetMode="External"/><Relationship Id="rId15" Type="http://schemas.openxmlformats.org/officeDocument/2006/relationships/hyperlink" Target="https://ipogenie.ai/tg?utm_source=Blockchain%20Reporter&amp;utm_medium=Article&amp;utm_term=G1&amp;utm_campaign=Experts%20Predict%20%24IPO%20Could%20Outperform%20Top%205%20Crypto%20Presales%20of%202025" TargetMode="External"/><Relationship Id="rId14" Type="http://schemas.openxmlformats.org/officeDocument/2006/relationships/hyperlink" Target="https://ipogenie.ai/tg?utm_source=Blockchain%20Reporter&amp;utm_medium=Article&amp;utm_term=G1&amp;utm_campaign=Experts%20Predict%20%24IPO%20Could%20Outperform%20Top%205%20Crypto%20Presales%20of%202025"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ipogenie.ai/?utm_source=Blockchain%20Reporter&amp;utm_medium=Article&amp;utm_term=G1&amp;utm_campaign=Experts%20Predict%20%24IPO%20Could%20Outperform%20Top%205%20Crypto%20Presales%20of%202025" TargetMode="External"/><Relationship Id="rId7" Type="http://schemas.openxmlformats.org/officeDocument/2006/relationships/image" Target="media/image2.jpg"/><Relationship Id="rId8" Type="http://schemas.openxmlformats.org/officeDocument/2006/relationships/hyperlink" Target="https://ipogenie.ai/?utm_source=Blockchain%20Reporter&amp;utm_medium=Article&amp;utm_term=G1&amp;utm_campaign=Experts%20Predict%20%24IPO%20Could%20Outperform%20Top%205%20Crypto%20Presales%20of%20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