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both"/>
        <w:rPr/>
      </w:pPr>
      <w:bookmarkStart w:colFirst="0" w:colLast="0" w:name="_vk5be7hz9gi5" w:id="0"/>
      <w:bookmarkEnd w:id="0"/>
      <w:r w:rsidDel="00000000" w:rsidR="00000000" w:rsidRPr="00000000">
        <w:rPr/>
        <w:drawing>
          <wp:inline distB="114300" distT="114300" distL="114300" distR="114300">
            <wp:extent cx="5943600" cy="33401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Here’s How High XRP Could Rise If It Beats Visa’s $600B Market Value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XRP eyes Visa’s valuation as analysts forecast double-digit prices. Currently valued at around </w:t>
      </w:r>
      <w:r w:rsidDel="00000000" w:rsidR="00000000" w:rsidRPr="00000000">
        <w:rPr>
          <w:b w:val="1"/>
          <w:bCs w:val="1"/>
          <w:rtl w:val="0"/>
        </w:rPr>
        <w:t xml:space="preserve">$147 billion</w:t>
      </w:r>
      <w:r w:rsidDel="00000000" w:rsidR="00000000" w:rsidRPr="00000000">
        <w:rPr>
          <w:rtl w:val="0"/>
        </w:rPr>
        <w:t xml:space="preserve"> with a price of </w:t>
      </w:r>
      <w:r w:rsidDel="00000000" w:rsidR="00000000" w:rsidRPr="00000000">
        <w:rPr>
          <w:b w:val="1"/>
          <w:bCs w:val="1"/>
          <w:rtl w:val="0"/>
        </w:rPr>
        <w:t xml:space="preserve">$2.45</w:t>
      </w:r>
      <w:r w:rsidDel="00000000" w:rsidR="00000000" w:rsidRPr="00000000">
        <w:rPr>
          <w:rtl w:val="0"/>
        </w:rPr>
        <w:t xml:space="preserve">, XRP ranks third among crypto assets, behind Bitcoin, Ethereum. Analysts project that if XRP’s market cap reaches </w:t>
      </w:r>
      <w:r w:rsidDel="00000000" w:rsidR="00000000" w:rsidRPr="00000000">
        <w:rPr>
          <w:b w:val="1"/>
          <w:bCs w:val="1"/>
          <w:rtl w:val="0"/>
        </w:rPr>
        <w:t xml:space="preserve">Visa’s $667 billion</w:t>
      </w:r>
      <w:r w:rsidDel="00000000" w:rsidR="00000000" w:rsidRPr="00000000">
        <w:rPr>
          <w:rtl w:val="0"/>
        </w:rPr>
        <w:t xml:space="preserve">, its price could soar to approximately </w:t>
      </w:r>
      <w:r w:rsidDel="00000000" w:rsidR="00000000" w:rsidRPr="00000000">
        <w:rPr>
          <w:b w:val="1"/>
          <w:bCs w:val="1"/>
          <w:rtl w:val="0"/>
        </w:rPr>
        <w:t xml:space="preserve">$11.68</w:t>
      </w:r>
      <w:r w:rsidDel="00000000" w:rsidR="00000000" w:rsidRPr="00000000">
        <w:rPr>
          <w:rtl w:val="0"/>
        </w:rPr>
        <w:t xml:space="preserve"> per token, a </w:t>
      </w:r>
      <w:r w:rsidDel="00000000" w:rsidR="00000000" w:rsidRPr="00000000">
        <w:rPr>
          <w:b w:val="1"/>
          <w:bCs w:val="1"/>
          <w:rtl w:val="0"/>
        </w:rPr>
        <w:t xml:space="preserve">376% surge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943600" cy="31623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2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spacing w:after="240" w:before="240" w:lineRule="auto"/>
        <w:jc w:val="both"/>
        <w:rPr/>
      </w:pPr>
      <w:bookmarkStart w:colFirst="0" w:colLast="0" w:name="_7zk5rx2perm4" w:id="1"/>
      <w:bookmarkEnd w:id="1"/>
      <w:r w:rsidDel="00000000" w:rsidR="00000000" w:rsidRPr="00000000">
        <w:rPr>
          <w:rtl w:val="0"/>
        </w:rPr>
        <w:t xml:space="preserve">XRP to $50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In July, XRP briefly hit a $210 billion market cap, surpassing companies like Uber and BlackRock before retreating. Analysts believe </w:t>
      </w:r>
      <w:r w:rsidDel="00000000" w:rsidR="00000000" w:rsidRPr="00000000">
        <w:rPr>
          <w:b w:val="1"/>
          <w:bCs w:val="1"/>
          <w:rtl w:val="0"/>
        </w:rPr>
        <w:t xml:space="preserve">Q4 2025</w:t>
      </w:r>
      <w:r w:rsidDel="00000000" w:rsidR="00000000" w:rsidRPr="00000000">
        <w:rPr>
          <w:rtl w:val="0"/>
        </w:rPr>
        <w:t xml:space="preserve"> could mark XRP’s next major breakout, potentially pushing it into double-digit territory and positioning it to challenge giants such as Netflix, Visa, and Mastercard.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According to </w:t>
      </w:r>
      <w:r w:rsidDel="00000000" w:rsidR="00000000" w:rsidRPr="00000000">
        <w:rPr>
          <w:b w:val="1"/>
          <w:bCs w:val="1"/>
          <w:rtl w:val="0"/>
        </w:rPr>
        <w:t xml:space="preserve">Zach Rector</w:t>
      </w:r>
      <w:r w:rsidDel="00000000" w:rsidR="00000000" w:rsidRPr="00000000">
        <w:rPr>
          <w:rtl w:val="0"/>
        </w:rPr>
        <w:t xml:space="preserve">, XRP next surge may begin following </w:t>
      </w:r>
      <w:r w:rsidDel="00000000" w:rsidR="00000000" w:rsidRPr="00000000">
        <w:rPr>
          <w:b w:val="1"/>
          <w:bCs w:val="1"/>
          <w:rtl w:val="0"/>
        </w:rPr>
        <w:t xml:space="preserve">ETF approvals</w:t>
      </w:r>
      <w:r w:rsidDel="00000000" w:rsidR="00000000" w:rsidRPr="00000000">
        <w:rPr>
          <w:rtl w:val="0"/>
        </w:rPr>
        <w:t xml:space="preserve"> as it attracts billions in inflows. Some predictions target XRP prices as high as </w:t>
      </w:r>
      <w:r w:rsidDel="00000000" w:rsidR="00000000" w:rsidRPr="00000000">
        <w:rPr>
          <w:b w:val="1"/>
          <w:bCs w:val="1"/>
          <w:rtl w:val="0"/>
        </w:rPr>
        <w:t xml:space="preserve">$50</w:t>
      </w:r>
      <w:r w:rsidDel="00000000" w:rsidR="00000000" w:rsidRPr="00000000">
        <w:rPr>
          <w:rtl w:val="0"/>
        </w:rPr>
        <w:t xml:space="preserve"> if inflows reach $10 billion.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before="280" w:lineRule="auto"/>
        <w:jc w:val="both"/>
        <w:rPr/>
      </w:pPr>
      <w:bookmarkStart w:colFirst="0" w:colLast="0" w:name="_k6q18omn1p1g" w:id="2"/>
      <w:bookmarkEnd w:id="2"/>
      <w:r w:rsidDel="00000000" w:rsidR="00000000" w:rsidRPr="00000000">
        <w:rPr>
          <w:rtl w:val="0"/>
        </w:rPr>
        <w:t xml:space="preserve">Another Promising Coin to Watch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hyperlink r:id="rId9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Minotaurus (MTAUR)</w:t>
        </w:r>
      </w:hyperlink>
      <w:r w:rsidDel="00000000" w:rsidR="00000000" w:rsidRPr="00000000">
        <w:rPr>
          <w:rtl w:val="0"/>
        </w:rPr>
        <w:t xml:space="preserve"> is also capturing interest with strong early momentum. At </w:t>
      </w:r>
      <w:r w:rsidDel="00000000" w:rsidR="00000000" w:rsidRPr="00000000">
        <w:rPr>
          <w:b w:val="1"/>
          <w:bCs w:val="1"/>
          <w:rtl w:val="0"/>
        </w:rPr>
        <w:t xml:space="preserve">0.00012489</w:t>
      </w:r>
      <w:r w:rsidDel="00000000" w:rsidR="00000000" w:rsidRPr="00000000">
        <w:rPr>
          <w:rtl w:val="0"/>
        </w:rPr>
        <w:t xml:space="preserve">, MTAUR has already tripled from its starting price of 0.00004, and the momentum remains red hot.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With upcoming </w:t>
      </w:r>
      <w:r w:rsidDel="00000000" w:rsidR="00000000" w:rsidRPr="00000000">
        <w:rPr>
          <w:b w:val="1"/>
          <w:bCs w:val="1"/>
          <w:rtl w:val="0"/>
        </w:rPr>
        <w:t xml:space="preserve">exchange listings</w:t>
      </w:r>
      <w:r w:rsidDel="00000000" w:rsidR="00000000" w:rsidRPr="00000000">
        <w:rPr>
          <w:rtl w:val="0"/>
        </w:rPr>
        <w:t xml:space="preserve"> and strategic </w:t>
      </w:r>
      <w:r w:rsidDel="00000000" w:rsidR="00000000" w:rsidRPr="00000000">
        <w:rPr>
          <w:b w:val="1"/>
          <w:bCs w:val="1"/>
          <w:rtl w:val="0"/>
        </w:rPr>
        <w:t xml:space="preserve">partnerships</w:t>
      </w:r>
      <w:r w:rsidDel="00000000" w:rsidR="00000000" w:rsidRPr="00000000">
        <w:rPr>
          <w:rtl w:val="0"/>
        </w:rPr>
        <w:t xml:space="preserve">, analysts see room for exponential upside, potentially reaching </w:t>
      </w:r>
      <w:r w:rsidDel="00000000" w:rsidR="00000000" w:rsidRPr="00000000">
        <w:rPr>
          <w:b w:val="1"/>
          <w:bCs w:val="1"/>
          <w:rtl w:val="0"/>
        </w:rPr>
        <w:t xml:space="preserve">0.05</w:t>
      </w:r>
      <w:r w:rsidDel="00000000" w:rsidR="00000000" w:rsidRPr="00000000">
        <w:rPr>
          <w:rtl w:val="0"/>
        </w:rPr>
        <w:t xml:space="preserve">, which could turn small early sums into substantial gains.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MTAUR powers a blockchain-based gaming ecosystem where players battle mythical creatures and unlock game utilities. The project has been audited by </w:t>
      </w:r>
      <w:r w:rsidDel="00000000" w:rsidR="00000000" w:rsidRPr="00000000">
        <w:rPr>
          <w:b w:val="1"/>
          <w:bCs w:val="1"/>
          <w:rtl w:val="0"/>
        </w:rPr>
        <w:t xml:space="preserve">SolidProof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Coinsult</w:t>
      </w:r>
      <w:r w:rsidDel="00000000" w:rsidR="00000000" w:rsidRPr="00000000">
        <w:rPr>
          <w:rtl w:val="0"/>
        </w:rPr>
        <w:t xml:space="preserve">. </w:t>
      </w:r>
      <w:hyperlink r:id="rId10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Visit the official website to explore pre-launch details and how to join before its next major announcement.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commentRangeStart w:id="0"/>
      <w:r w:rsidDel="00000000" w:rsidR="00000000" w:rsidRPr="00000000">
        <w:rPr/>
        <w:drawing>
          <wp:inline distB="114300" distT="114300" distL="114300" distR="114300">
            <wp:extent cx="5943600" cy="3340100"/>
            <wp:effectExtent b="0" l="0" r="0" t="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sectPr>
      <w:headerReference r:id="rId12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Nick Stars" w:id="0" w:date="2025-11-10T06:01:29Z"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https://minotaurus.io/?utm_source=bitcoinsistemi.com&amp;utm_campaign=k86totkk65z7zplzx6mx&amp;PropertyValue=n2zhq5eo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image" Target="media/image3.jpg"/><Relationship Id="rId10" Type="http://schemas.openxmlformats.org/officeDocument/2006/relationships/hyperlink" Target="https://minotaurus.io/?utm_source=bitcoinsistemi.com&amp;utm_campaign=k86totkk65z7zplzx6mx&amp;PropertyValue=n2zhq5eo" TargetMode="External"/><Relationship Id="rId12" Type="http://schemas.openxmlformats.org/officeDocument/2006/relationships/header" Target="header1.xml"/><Relationship Id="rId9" Type="http://schemas.openxmlformats.org/officeDocument/2006/relationships/hyperlink" Target="https://minotaurus.io/?utm_source=bitcoinsistemi.com&amp;utm_campaign=k86totkk65z7zplzx6mx&amp;PropertyValue=n2zhq5eo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