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x3kv9yhcnr3v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Solana Foundation Manager Says Sell Your House, Bed, Clothes, and Buy XRP as ETF Inflows Hit $545M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Vibhu Norby, a manager at the Solana Foundation,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sparked</w:t>
        </w:r>
      </w:hyperlink>
      <w:r w:rsidDel="00000000" w:rsidR="00000000" w:rsidRPr="00000000">
        <w:rPr>
          <w:rtl w:val="0"/>
        </w:rPr>
        <w:t xml:space="preserve"> online buzz after joking, “Sell your house, bed, kids, cardboard box, clothes, and buy XRP,” joining the heated debate over aggressive XRP accumulation.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His satirical remark followed crypto founder Cameron Scrubs’ call to sell all holdings and go all-in on XRP, which he claims will surpass Bitcoin and Ethereum within five years.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27813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 Ripple Swell 2025, Ripple announced a $500 million funding round led by major firms like Galaxy Digital and Pantera Capital, along with a new Mastercard partnership to use RLUSD for fiat settlements on the XRP Ledger.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Solana’s Bitwise Staking ETF has drawn $545 million in inflows since its October 28 launch, with daily gains despite a 29% monthly price dip. Analysts say the demand reflects Solana’s strong community and long-term potential amid growing competition.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9n4yzkdn4y6e" w:id="1"/>
      <w:bookmarkEnd w:id="1"/>
      <w:r w:rsidDel="00000000" w:rsidR="00000000" w:rsidRPr="00000000">
        <w:rPr>
          <w:rtl w:val="0"/>
        </w:rPr>
        <w:t xml:space="preserve">The Next Big Entry Before the Public Phase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Meanwhile, another project sparking significant attention is </w:t>
      </w:r>
      <w:r w:rsidDel="00000000" w:rsidR="00000000" w:rsidRPr="00000000">
        <w:rPr>
          <w:b w:val="1"/>
          <w:bCs w:val="1"/>
          <w:rtl w:val="0"/>
        </w:rPr>
        <w:t xml:space="preserve">Minotaurus (MTAUR)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coin sells at just </w:t>
      </w:r>
      <w:r w:rsidDel="00000000" w:rsidR="00000000" w:rsidRPr="00000000">
        <w:rPr>
          <w:b w:val="1"/>
          <w:bCs w:val="1"/>
          <w:rtl w:val="0"/>
        </w:rPr>
        <w:t xml:space="preserve">0.0001249 USDT </w:t>
      </w:r>
      <w:r w:rsidDel="00000000" w:rsidR="00000000" w:rsidRPr="00000000">
        <w:rPr>
          <w:rtl w:val="0"/>
        </w:rPr>
        <w:t xml:space="preserve">per token with a </w:t>
      </w:r>
      <w:r w:rsidDel="00000000" w:rsidR="00000000" w:rsidRPr="00000000">
        <w:rPr>
          <w:b w:val="1"/>
          <w:bCs w:val="1"/>
          <w:rtl w:val="0"/>
        </w:rPr>
        <w:t xml:space="preserve">5.6 million </w:t>
      </w:r>
      <w:r w:rsidDel="00000000" w:rsidR="00000000" w:rsidRPr="00000000">
        <w:rPr>
          <w:rtl w:val="0"/>
        </w:rPr>
        <w:t xml:space="preserve">market cap, offering rare early-stage upside potential. It has surged </w:t>
      </w:r>
      <w:r w:rsidDel="00000000" w:rsidR="00000000" w:rsidRPr="00000000">
        <w:rPr>
          <w:b w:val="1"/>
          <w:bCs w:val="1"/>
          <w:rtl w:val="0"/>
        </w:rPr>
        <w:t xml:space="preserve">250%</w:t>
      </w:r>
      <w:r w:rsidDel="00000000" w:rsidR="00000000" w:rsidRPr="00000000">
        <w:rPr>
          <w:rtl w:val="0"/>
        </w:rPr>
        <w:t xml:space="preserve"> since launch, showing strong demand and trust.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Early inflows into the gaming project have already reached </w:t>
      </w:r>
      <w:r w:rsidDel="00000000" w:rsidR="00000000" w:rsidRPr="00000000">
        <w:rPr>
          <w:b w:val="1"/>
          <w:bCs w:val="1"/>
          <w:rtl w:val="0"/>
        </w:rPr>
        <w:t xml:space="preserve">2.9 million USDT</w:t>
      </w:r>
      <w:r w:rsidDel="00000000" w:rsidR="00000000" w:rsidRPr="00000000">
        <w:rPr>
          <w:rtl w:val="0"/>
        </w:rPr>
        <w:t xml:space="preserve">, nearing the 3 million milestone. A </w:t>
      </w:r>
      <w:r w:rsidDel="00000000" w:rsidR="00000000" w:rsidRPr="00000000">
        <w:rPr>
          <w:b w:val="1"/>
          <w:bCs w:val="1"/>
          <w:rtl w:val="0"/>
        </w:rPr>
        <w:t xml:space="preserve">100 USDT stake</w:t>
      </w:r>
      <w:r w:rsidDel="00000000" w:rsidR="00000000" w:rsidRPr="00000000">
        <w:rPr>
          <w:rtl w:val="0"/>
        </w:rPr>
        <w:t xml:space="preserve"> today could yield hundreds of thousands of tokens before the next price leg up.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SolidProof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Coinsult audited the project</w:t>
      </w:r>
      <w:r w:rsidDel="00000000" w:rsidR="00000000" w:rsidRPr="00000000">
        <w:rPr>
          <w:rtl w:val="0"/>
        </w:rPr>
        <w:t xml:space="preserve">.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Visit the official Minotaurus site to join before public access opens.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bCs w:val="1"/>
        </w:rPr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1-11T05:16:49Z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https://minotaurus.io/?utm_source=bitcoinsistemi.com&amp;utm_campaign=q6cqd8yefc7m76kgv9qq&amp;PropertyValue=h4t9mkqo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2.jpg"/><Relationship Id="rId10" Type="http://schemas.openxmlformats.org/officeDocument/2006/relationships/hyperlink" Target="https://minotaurus.io/?utm_source=bitcoinsistemi.com&amp;utm_campaign=q6cqd8yefc7m76kgv9qq&amp;PropertyValue=h4t9mkqo" TargetMode="External"/><Relationship Id="rId12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jpg"/><Relationship Id="rId8" Type="http://schemas.openxmlformats.org/officeDocument/2006/relationships/hyperlink" Target="https://x.com/vibhu/status/1986615814267539877?s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