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/>
      </w:pPr>
      <w:bookmarkStart w:colFirst="0" w:colLast="0" w:name="_wlk4bfpbobyq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Ripple CEO Breaks Silence as First Spot XRP ETF Explodes With $26 Million in 30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Ripple finally got the moment it spent years fighting for. The first </w:t>
      </w:r>
      <w:r w:rsidDel="00000000" w:rsidR="00000000" w:rsidRPr="00000000">
        <w:rPr>
          <w:b w:val="1"/>
          <w:bCs w:val="1"/>
          <w:rtl w:val="0"/>
        </w:rPr>
        <w:t xml:space="preserve">spot XRP ETF</w:t>
      </w:r>
      <w:r w:rsidDel="00000000" w:rsidR="00000000" w:rsidRPr="00000000">
        <w:rPr>
          <w:rtl w:val="0"/>
        </w:rPr>
        <w:t xml:space="preserve"> launched in the United States — and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CEO Brad Garlinghouse</w:t>
        </w:r>
      </w:hyperlink>
      <w:r w:rsidDel="00000000" w:rsidR="00000000" w:rsidRPr="00000000">
        <w:rPr>
          <w:rtl w:val="0"/>
        </w:rPr>
        <w:t xml:space="preserve"> immediately jumped online to acknowledge what the market has been waiting for since the earliest days of the SEC v. Ripple saga.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His short post carried the weight of a decade-long battle: regulatory pressure, courtroom delays, and an industry that watched XRP remain the lone top-tier asset without an ETF product. Today, that era is over.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Rule="auto"/>
        <w:rPr/>
      </w:pPr>
      <w:bookmarkStart w:colFirst="0" w:colLast="0" w:name="_fggg5rt5ejok" w:id="1"/>
      <w:bookmarkEnd w:id="1"/>
      <w:r w:rsidDel="00000000" w:rsidR="00000000" w:rsidRPr="00000000">
        <w:rPr>
          <w:rtl w:val="0"/>
        </w:rPr>
        <w:t xml:space="preserve">XRPC’s Red-Hot Debut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Trading opened — and </w:t>
      </w:r>
      <w:r w:rsidDel="00000000" w:rsidR="00000000" w:rsidRPr="00000000">
        <w:rPr>
          <w:b w:val="1"/>
          <w:bCs w:val="1"/>
          <w:rtl w:val="0"/>
        </w:rPr>
        <w:t xml:space="preserve">XRPC detonated.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Within </w:t>
      </w:r>
      <w:r w:rsidDel="00000000" w:rsidR="00000000" w:rsidRPr="00000000">
        <w:rPr>
          <w:b w:val="1"/>
          <w:bCs w:val="1"/>
          <w:rtl w:val="0"/>
        </w:rPr>
        <w:t xml:space="preserve">30 minutes</w:t>
      </w:r>
      <w:r w:rsidDel="00000000" w:rsidR="00000000" w:rsidRPr="00000000">
        <w:rPr>
          <w:rtl w:val="0"/>
        </w:rPr>
        <w:t xml:space="preserve">, more than </w:t>
      </w:r>
      <w:r w:rsidDel="00000000" w:rsidR="00000000" w:rsidRPr="00000000">
        <w:rPr>
          <w:b w:val="1"/>
          <w:bCs w:val="1"/>
          <w:rtl w:val="0"/>
        </w:rPr>
        <w:t xml:space="preserve">$26 million</w:t>
      </w:r>
      <w:r w:rsidDel="00000000" w:rsidR="00000000" w:rsidRPr="00000000">
        <w:rPr>
          <w:rtl w:val="0"/>
        </w:rPr>
        <w:t xml:space="preserve"> in shares had already changed hands. That’s not just a “strong start.” It puts XRPC on pace to challenge the best ETF debut of the year: Bitwise’s Solana ETF (</w:t>
      </w:r>
      <w:r w:rsidDel="00000000" w:rsidR="00000000" w:rsidRPr="00000000">
        <w:rPr>
          <w:b w:val="1"/>
          <w:bCs w:val="1"/>
          <w:rtl w:val="0"/>
        </w:rPr>
        <w:t xml:space="preserve">BSOL</w:t>
      </w:r>
      <w:r w:rsidDel="00000000" w:rsidR="00000000" w:rsidRPr="00000000">
        <w:rPr>
          <w:rtl w:val="0"/>
        </w:rPr>
        <w:t xml:space="preserve">), which currently holds the 2025 record at </w:t>
      </w:r>
      <w:r w:rsidDel="00000000" w:rsidR="00000000" w:rsidRPr="00000000">
        <w:rPr>
          <w:b w:val="1"/>
          <w:bCs w:val="1"/>
          <w:rtl w:val="0"/>
        </w:rPr>
        <w:t xml:space="preserve">$57 million</w:t>
      </w:r>
      <w:r w:rsidDel="00000000" w:rsidR="00000000" w:rsidRPr="00000000">
        <w:rPr>
          <w:rtl w:val="0"/>
        </w:rPr>
        <w:t xml:space="preserve"> on day one.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Bloomberg ETF analyst </w:t>
      </w:r>
      <w:r w:rsidDel="00000000" w:rsidR="00000000" w:rsidRPr="00000000">
        <w:rPr>
          <w:b w:val="1"/>
          <w:bCs w:val="1"/>
          <w:rtl w:val="0"/>
        </w:rPr>
        <w:t xml:space="preserve">Eric Balchunas</w:t>
      </w:r>
      <w:r w:rsidDel="00000000" w:rsidR="00000000" w:rsidRPr="00000000">
        <w:rPr>
          <w:rtl w:val="0"/>
        </w:rPr>
        <w:t xml:space="preserve"> says XRPC could </w:t>
      </w:r>
      <w:r w:rsidDel="00000000" w:rsidR="00000000" w:rsidRPr="00000000">
        <w:rPr>
          <w:b w:val="1"/>
          <w:bCs w:val="1"/>
          <w:rtl w:val="0"/>
        </w:rPr>
        <w:t xml:space="preserve">easily surpass</w:t>
      </w:r>
      <w:r w:rsidDel="00000000" w:rsidR="00000000" w:rsidRPr="00000000">
        <w:rPr>
          <w:rtl w:val="0"/>
        </w:rPr>
        <w:t xml:space="preserve"> that mark if early demand continues at this speed.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3263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type of volume confirms what Ripple supporters have argued for years: there is </w:t>
      </w:r>
      <w:r w:rsidDel="00000000" w:rsidR="00000000" w:rsidRPr="00000000">
        <w:rPr>
          <w:b w:val="1"/>
          <w:bCs w:val="1"/>
          <w:rtl w:val="0"/>
        </w:rPr>
        <w:t xml:space="preserve">deep, unmet demand</w:t>
      </w:r>
      <w:r w:rsidDel="00000000" w:rsidR="00000000" w:rsidRPr="00000000">
        <w:rPr>
          <w:rtl w:val="0"/>
        </w:rPr>
        <w:t xml:space="preserve"> for regulated XRP exposure in U.S. markets.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Bitwise CIO </w:t>
      </w:r>
      <w:r w:rsidDel="00000000" w:rsidR="00000000" w:rsidRPr="00000000">
        <w:rPr>
          <w:b w:val="1"/>
          <w:bCs w:val="1"/>
          <w:rtl w:val="0"/>
        </w:rPr>
        <w:t xml:space="preserve">Matt Hougan</w:t>
      </w:r>
      <w:r w:rsidDel="00000000" w:rsidR="00000000" w:rsidRPr="00000000">
        <w:rPr>
          <w:rtl w:val="0"/>
        </w:rPr>
        <w:t xml:space="preserve"> weighed in with one of the clearest explanations for XRPC’s explosive start: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“The median opinion of a crypto asset does not determine an ETF’s success. You’d rather have 20% of people love an asset than 80% of people kinda vaguely like it. ETFs die from apathy, not disagreement.”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XRP has never suffered from apathy. It has one of the most active global communities in crypto, constant institutional interest, and years of pent-up demand due to the legal freeze-out that prevented a U.S. ETF from launching earlier.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before="280" w:lineRule="auto"/>
        <w:rPr/>
      </w:pPr>
      <w:bookmarkStart w:colFirst="0" w:colLast="0" w:name="_t0tdiu6z7xyt" w:id="2"/>
      <w:bookmarkEnd w:id="2"/>
      <w:r w:rsidDel="00000000" w:rsidR="00000000" w:rsidRPr="00000000">
        <w:rPr>
          <w:rtl w:val="0"/>
        </w:rPr>
        <w:t xml:space="preserve">The Bigger Picture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reported earlier, ETF expert </w:t>
      </w:r>
      <w:r w:rsidDel="00000000" w:rsidR="00000000" w:rsidRPr="00000000">
        <w:rPr>
          <w:b w:val="1"/>
          <w:bCs w:val="1"/>
          <w:rtl w:val="0"/>
        </w:rPr>
        <w:t xml:space="preserve">Nate Geraci</w:t>
      </w:r>
      <w:r w:rsidDel="00000000" w:rsidR="00000000" w:rsidRPr="00000000">
        <w:rPr>
          <w:rtl w:val="0"/>
        </w:rPr>
        <w:t xml:space="preserve"> said a spot XRP ETF would mark the </w:t>
      </w:r>
      <w:r w:rsidDel="00000000" w:rsidR="00000000" w:rsidRPr="00000000">
        <w:rPr>
          <w:b w:val="1"/>
          <w:bCs w:val="1"/>
          <w:rtl w:val="0"/>
        </w:rPr>
        <w:t xml:space="preserve">final blow</w:t>
      </w:r>
      <w:r w:rsidDel="00000000" w:rsidR="00000000" w:rsidRPr="00000000">
        <w:rPr>
          <w:rtl w:val="0"/>
        </w:rPr>
        <w:t xml:space="preserve"> to the aggressive anti-crypto stance of prior SEC leadership. The successful debut of XRPC is a symbolic turning point — not just for XRP, but for every asset still waiting for regulatory clarity.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Garlinghouse didn’t need a long statement. The numbers did the talking: </w:t>
      </w:r>
      <w:r w:rsidDel="00000000" w:rsidR="00000000" w:rsidRPr="00000000">
        <w:rPr>
          <w:b w:val="1"/>
          <w:bCs w:val="1"/>
          <w:rtl w:val="0"/>
        </w:rPr>
        <w:t xml:space="preserve">$26 million in 30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x.com/bgarlinghouse/status/1988995022394397012?ref_src=twsrc%5Etfw%7Ctwcamp%5Etweetembed%7Ctwterm%5E1988995022394397012%7Ctwgr%5E5c2a68f77154d8c2305dae9bce38a26bdf27c922%7Ctwcon%5Es1_c10&amp;ref_url=https%3A%2F%2Fu.today%2Fbreaking-ripple-ceo-reacts-to-launch-of-first-spot-xrp-etf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