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280" w:lineRule="auto"/>
        <w:rPr/>
      </w:pPr>
      <w:bookmarkStart w:colFirst="0" w:colLast="0" w:name="_6aw4l3fkbn2z" w:id="0"/>
      <w:bookmarkEnd w:id="0"/>
      <w:r w:rsidDel="00000000" w:rsidR="00000000" w:rsidRPr="00000000">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t xml:space="preserve">Ripple CTO Outlines New Vision for XRP Without Sacrificing Design</w:t>
      </w:r>
    </w:p>
    <w:p w:rsidR="00000000" w:rsidDel="00000000" w:rsidP="00000000" w:rsidRDefault="00000000" w:rsidRPr="00000000" w14:paraId="00000002">
      <w:pPr>
        <w:spacing w:after="240" w:before="240" w:lineRule="auto"/>
        <w:rPr/>
      </w:pPr>
      <w:r w:rsidDel="00000000" w:rsidR="00000000" w:rsidRPr="00000000">
        <w:rPr>
          <w:rtl w:val="0"/>
        </w:rPr>
        <w:t xml:space="preserve">Ripple CTO David Schwartz </w:t>
      </w:r>
      <w:hyperlink r:id="rId7">
        <w:r w:rsidDel="00000000" w:rsidR="00000000" w:rsidRPr="00000000">
          <w:rPr>
            <w:color w:val="1155cc"/>
            <w:u w:val="single"/>
            <w:rtl w:val="0"/>
          </w:rPr>
          <w:t xml:space="preserve">says</w:t>
        </w:r>
      </w:hyperlink>
      <w:r w:rsidDel="00000000" w:rsidR="00000000" w:rsidRPr="00000000">
        <w:rPr>
          <w:rtl w:val="0"/>
        </w:rPr>
        <w:t xml:space="preserve"> the XRP Ledger may be approaching its next major evolution point - but any upgrade, he stresses, must preserve the fundamental principles that have defined XRPL since its launch in 2012.</w:t>
      </w:r>
    </w:p>
    <w:p w:rsidR="00000000" w:rsidDel="00000000" w:rsidP="00000000" w:rsidRDefault="00000000" w:rsidRPr="00000000" w14:paraId="00000003">
      <w:pPr>
        <w:spacing w:after="240" w:before="240" w:lineRule="auto"/>
        <w:rPr>
          <w:b w:val="1"/>
          <w:bCs w:val="1"/>
          <w:color w:val="000000"/>
          <w:sz w:val="26"/>
          <w:szCs w:val="26"/>
        </w:rPr>
      </w:pPr>
      <w:r w:rsidDel="00000000" w:rsidR="00000000" w:rsidRPr="00000000">
        <w:rPr>
          <w:rtl w:val="0"/>
        </w:rPr>
        <w:t xml:space="preserve">Speaking about the rapid changes in blockchain architecture over the past decade, Schwartz noted that his own views on governance, programmability and consensus have shifted as new technologies and use cases emerge. With ongoing discussions about smart contracts and programmability, he believes the time has come to consider what </w:t>
      </w:r>
      <w:r w:rsidDel="00000000" w:rsidR="00000000" w:rsidRPr="00000000">
        <w:rPr>
          <w:b w:val="1"/>
          <w:bCs w:val="1"/>
          <w:rtl w:val="0"/>
        </w:rPr>
        <w:t xml:space="preserve">native DeFi on XRPL</w:t>
      </w:r>
      <w:r w:rsidDel="00000000" w:rsidR="00000000" w:rsidRPr="00000000">
        <w:rPr>
          <w:rtl w:val="0"/>
        </w:rPr>
        <w:t xml:space="preserve"> could look like.</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Schwartz emphasized that XRPL is structurally different from proof-of-stake networks.</w:t>
        <w:br w:type="textWrapping"/>
        <w:t xml:space="preserve"> Key design choices are not accidental:</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b w:val="1"/>
          <w:bCs w:val="1"/>
          <w:rtl w:val="0"/>
        </w:rPr>
        <w:t xml:space="preserve">Validators are equal</w:t>
      </w:r>
      <w:r w:rsidDel="00000000" w:rsidR="00000000" w:rsidRPr="00000000">
        <w:rPr>
          <w:rtl w:val="0"/>
        </w:rPr>
        <w:t xml:space="preserve">, not weighted by token ownership.</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b w:val="1"/>
          <w:bCs w:val="1"/>
          <w:rtl w:val="0"/>
        </w:rPr>
        <w:t xml:space="preserve">Transaction fees are burned</w:t>
      </w:r>
      <w:r w:rsidDel="00000000" w:rsidR="00000000" w:rsidRPr="00000000">
        <w:rPr>
          <w:rtl w:val="0"/>
        </w:rPr>
        <w:t xml:space="preserve">, not distributed as staking rewards.</w:t>
      </w:r>
    </w:p>
    <w:p w:rsidR="00000000" w:rsidDel="00000000" w:rsidP="00000000" w:rsidRDefault="00000000" w:rsidRPr="00000000" w14:paraId="00000007">
      <w:pPr>
        <w:numPr>
          <w:ilvl w:val="0"/>
          <w:numId w:val="2"/>
        </w:numPr>
        <w:spacing w:after="240" w:before="0" w:beforeAutospacing="0" w:lineRule="auto"/>
        <w:ind w:left="720" w:hanging="360"/>
      </w:pPr>
      <w:r w:rsidDel="00000000" w:rsidR="00000000" w:rsidRPr="00000000">
        <w:rPr>
          <w:rtl w:val="0"/>
        </w:rPr>
        <w:t xml:space="preserve">The ledger is engineered for </w:t>
      </w:r>
      <w:r w:rsidDel="00000000" w:rsidR="00000000" w:rsidRPr="00000000">
        <w:rPr>
          <w:b w:val="1"/>
          <w:bCs w:val="1"/>
          <w:rtl w:val="0"/>
        </w:rPr>
        <w:t xml:space="preserve">speed, low cost, and secure settlement</w:t>
      </w:r>
      <w:r w:rsidDel="00000000" w:rsidR="00000000" w:rsidRPr="00000000">
        <w:rPr>
          <w:rtl w:val="0"/>
        </w:rPr>
        <w:t xml:space="preserve">, not yield generation.</w:t>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rtl w:val="0"/>
        </w:rPr>
        <w:t xml:space="preserve">For Schwartz, this means any introduction of “staking,” incentives or DeFi components must not distort these foundational principles. Expanding capability, he said, must not come at the cost of XRPL’s identity.</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One of the ideas Schwartz is exploring is a </w:t>
      </w:r>
      <w:r w:rsidDel="00000000" w:rsidR="00000000" w:rsidRPr="00000000">
        <w:rPr>
          <w:b w:val="1"/>
          <w:bCs w:val="1"/>
          <w:rtl w:val="0"/>
        </w:rPr>
        <w:t xml:space="preserve">dual-layer consensus system</w:t>
      </w:r>
      <w:r w:rsidDel="00000000" w:rsidR="00000000" w:rsidRPr="00000000">
        <w:rPr>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Under this design:</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b w:val="1"/>
          <w:bCs w:val="1"/>
          <w:rtl w:val="0"/>
        </w:rPr>
        <w:t xml:space="preserve">Outer layer:</w:t>
      </w:r>
      <w:r w:rsidDel="00000000" w:rsidR="00000000" w:rsidRPr="00000000">
        <w:rPr>
          <w:rtl w:val="0"/>
        </w:rPr>
        <w:t xml:space="preserve"> Maintains XRPL’s current governance - amendments, fee structure, and network policing.</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Inner layer:</w:t>
      </w:r>
      <w:r w:rsidDel="00000000" w:rsidR="00000000" w:rsidRPr="00000000">
        <w:rPr>
          <w:rtl w:val="0"/>
        </w:rPr>
        <w:t xml:space="preserve"> Handles fast ledger advancement and could use staking-like incentives, including slashing, to encourage performance and diversity among validators.</w:t>
      </w:r>
    </w:p>
    <w:p w:rsidR="00000000" w:rsidDel="00000000" w:rsidP="00000000" w:rsidRDefault="00000000" w:rsidRPr="00000000" w14:paraId="0000000D">
      <w:pPr>
        <w:spacing w:after="240" w:before="240" w:lineRule="auto"/>
        <w:rPr/>
      </w:pPr>
      <w:r w:rsidDel="00000000" w:rsidR="00000000" w:rsidRPr="00000000">
        <w:rPr>
          <w:rtl w:val="0"/>
        </w:rPr>
        <w:t xml:space="preserve">This structure would allow the network to gain resilience and programmability without slowing down the base layer or turning XRPL into a conventional PoS chain.</w:t>
      </w:r>
    </w:p>
    <w:p w:rsidR="00000000" w:rsidDel="00000000" w:rsidP="00000000" w:rsidRDefault="00000000" w:rsidRPr="00000000" w14:paraId="0000000E">
      <w:pPr>
        <w:spacing w:after="240" w:before="240" w:lineRule="auto"/>
        <w:rPr/>
      </w:pPr>
      <w:r w:rsidDel="00000000" w:rsidR="00000000" w:rsidRPr="00000000">
        <w:rPr>
          <w:rtl w:val="0"/>
        </w:rPr>
        <w:t xml:space="preserve">Schwartz described the approach as “technically elegant,” preserving the payment-oriented efficiency of XRPL while opening the door for more validator participation and new functionality.</w:t>
      </w:r>
    </w:p>
    <w:p w:rsidR="00000000" w:rsidDel="00000000" w:rsidP="00000000" w:rsidRDefault="00000000" w:rsidRPr="00000000" w14:paraId="0000000F">
      <w:pPr>
        <w:pStyle w:val="Heading2"/>
        <w:keepNext w:val="0"/>
        <w:keepLines w:val="0"/>
        <w:spacing w:before="280" w:lineRule="auto"/>
        <w:rPr/>
      </w:pPr>
      <w:bookmarkStart w:colFirst="0" w:colLast="0" w:name="_pgs8dij8at91" w:id="1"/>
      <w:bookmarkEnd w:id="1"/>
      <w:r w:rsidDel="00000000" w:rsidR="00000000" w:rsidRPr="00000000">
        <w:rPr>
          <w:rtl w:val="0"/>
        </w:rPr>
        <w:t xml:space="preserve">Zero-Knowledge Proofs for XRP DeFi</w:t>
      </w:r>
    </w:p>
    <w:p w:rsidR="00000000" w:rsidDel="00000000" w:rsidP="00000000" w:rsidRDefault="00000000" w:rsidRPr="00000000" w14:paraId="00000010">
      <w:pPr>
        <w:spacing w:after="240" w:before="240" w:lineRule="auto"/>
        <w:rPr/>
      </w:pPr>
      <w:r w:rsidDel="00000000" w:rsidR="00000000" w:rsidRPr="00000000">
        <w:rPr>
          <w:rtl w:val="0"/>
        </w:rPr>
        <w:t xml:space="preserve">Schwartz is also evaluating a model where users pay </w:t>
      </w:r>
      <w:r w:rsidDel="00000000" w:rsidR="00000000" w:rsidRPr="00000000">
        <w:rPr>
          <w:b w:val="1"/>
          <w:bCs w:val="1"/>
          <w:rtl w:val="0"/>
        </w:rPr>
        <w:t xml:space="preserve">transaction fees to fund zero-knowledge proofs</w:t>
      </w:r>
      <w:r w:rsidDel="00000000" w:rsidR="00000000" w:rsidRPr="00000000">
        <w:rPr>
          <w:rtl w:val="0"/>
        </w:rPr>
        <w:t xml:space="preserve"> that verify smart-contract execution.</w:t>
      </w:r>
    </w:p>
    <w:p w:rsidR="00000000" w:rsidDel="00000000" w:rsidP="00000000" w:rsidRDefault="00000000" w:rsidRPr="00000000" w14:paraId="00000011">
      <w:pPr>
        <w:spacing w:after="240" w:before="240" w:lineRule="auto"/>
        <w:rPr/>
      </w:pPr>
      <w:r w:rsidDel="00000000" w:rsidR="00000000" w:rsidRPr="00000000">
        <w:rPr>
          <w:rtl w:val="0"/>
        </w:rPr>
        <w:t xml:space="preserve">In this model:</w:t>
      </w:r>
    </w:p>
    <w:p w:rsidR="00000000" w:rsidDel="00000000" w:rsidP="00000000" w:rsidRDefault="00000000" w:rsidRPr="00000000" w14:paraId="00000012">
      <w:pPr>
        <w:numPr>
          <w:ilvl w:val="0"/>
          <w:numId w:val="3"/>
        </w:numPr>
        <w:spacing w:after="0" w:afterAutospacing="0" w:before="240" w:lineRule="auto"/>
        <w:ind w:left="720" w:hanging="360"/>
      </w:pPr>
      <w:r w:rsidDel="00000000" w:rsidR="00000000" w:rsidRPr="00000000">
        <w:rPr>
          <w:rtl w:val="0"/>
        </w:rPr>
        <w:t xml:space="preserve">Smart contract operations could be executed off-chain or in isolated environments.</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XRPL nodes would only need to verify the </w:t>
      </w:r>
      <w:r w:rsidDel="00000000" w:rsidR="00000000" w:rsidRPr="00000000">
        <w:rPr>
          <w:b w:val="1"/>
          <w:bCs w:val="1"/>
          <w:rtl w:val="0"/>
        </w:rPr>
        <w:t xml:space="preserve">ZK proof</w:t>
      </w:r>
      <w:r w:rsidDel="00000000" w:rsidR="00000000" w:rsidRPr="00000000">
        <w:rPr>
          <w:rtl w:val="0"/>
        </w:rPr>
        <w:t xml:space="preserve">, not execute the computation.</w:t>
      </w:r>
    </w:p>
    <w:p w:rsidR="00000000" w:rsidDel="00000000" w:rsidP="00000000" w:rsidRDefault="00000000" w:rsidRPr="00000000" w14:paraId="00000014">
      <w:pPr>
        <w:numPr>
          <w:ilvl w:val="0"/>
          <w:numId w:val="3"/>
        </w:numPr>
        <w:spacing w:after="240" w:before="0" w:beforeAutospacing="0" w:lineRule="auto"/>
        <w:ind w:left="720" w:hanging="360"/>
      </w:pPr>
      <w:r w:rsidDel="00000000" w:rsidR="00000000" w:rsidRPr="00000000">
        <w:rPr>
          <w:rtl w:val="0"/>
        </w:rPr>
        <w:t xml:space="preserve">The base ledger remains lightweight and fast, while advanced DeFi logic becomes possible.</w:t>
      </w:r>
    </w:p>
    <w:p w:rsidR="00000000" w:rsidDel="00000000" w:rsidP="00000000" w:rsidRDefault="00000000" w:rsidRPr="00000000" w14:paraId="00000015">
      <w:pPr>
        <w:spacing w:after="240" w:before="240" w:lineRule="auto"/>
        <w:rPr/>
      </w:pPr>
      <w:r w:rsidDel="00000000" w:rsidR="00000000" w:rsidRPr="00000000">
        <w:rPr>
          <w:rtl w:val="0"/>
        </w:rPr>
        <w:t xml:space="preserve">This approach could allow XRPL to support sophisticated on-chain functionality without burdening every validator with heavy processing requirements.</w:t>
      </w:r>
    </w:p>
    <w:p w:rsidR="00000000" w:rsidDel="00000000" w:rsidP="00000000" w:rsidRDefault="00000000" w:rsidRPr="00000000" w14:paraId="00000016">
      <w:pPr>
        <w:pStyle w:val="Heading2"/>
        <w:keepNext w:val="0"/>
        <w:keepLines w:val="0"/>
        <w:spacing w:before="280" w:lineRule="auto"/>
        <w:rPr/>
      </w:pPr>
      <w:bookmarkStart w:colFirst="0" w:colLast="0" w:name="_xht4ca669jdg" w:id="2"/>
      <w:bookmarkEnd w:id="2"/>
      <w:r w:rsidDel="00000000" w:rsidR="00000000" w:rsidRPr="00000000">
        <w:rPr>
          <w:rtl w:val="0"/>
        </w:rPr>
        <w:t xml:space="preserve">The Bigger Picture</w:t>
      </w:r>
    </w:p>
    <w:p w:rsidR="00000000" w:rsidDel="00000000" w:rsidP="00000000" w:rsidRDefault="00000000" w:rsidRPr="00000000" w14:paraId="00000017">
      <w:pPr>
        <w:spacing w:after="240" w:before="240" w:lineRule="auto"/>
        <w:rPr/>
      </w:pPr>
      <w:r w:rsidDel="00000000" w:rsidR="00000000" w:rsidRPr="00000000">
        <w:rPr>
          <w:rtl w:val="0"/>
        </w:rPr>
        <w:t xml:space="preserve">Schwartz’s comments underscore a growing acknowledgment within the Ripple ecosystem: expanding XRPL’s capabilities will require careful architectural choices to ensure its core strengths - speed, reliability and a non-stake-weighted governance model - remain intact.</w:t>
      </w:r>
    </w:p>
    <w:p w:rsidR="00000000" w:rsidDel="00000000" w:rsidP="00000000" w:rsidRDefault="00000000" w:rsidRPr="00000000" w14:paraId="00000018">
      <w:pPr>
        <w:spacing w:after="240" w:before="240" w:lineRule="auto"/>
        <w:rPr/>
      </w:pPr>
      <w:r w:rsidDel="00000000" w:rsidR="00000000" w:rsidRPr="00000000">
        <w:rPr>
          <w:rtl w:val="0"/>
        </w:rPr>
        <w:t xml:space="preserve">As discussions around programmability and smart contracts accelerate, the framework Schwartz outlines may become a central part of XRPL’s next chapter.</w:t>
      </w:r>
    </w:p>
    <w:p w:rsidR="00000000" w:rsidDel="00000000" w:rsidP="00000000" w:rsidRDefault="00000000" w:rsidRPr="00000000" w14:paraId="00000019">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x.com/JoelKatz/status/199084654530728376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