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4r9elnz25dhy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Long-Term Bitcoin Dealer Predicts When XRP Supply Will Turn Scarce and Price Could Surge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Long-term Bitcoin holder AltcoinFox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argues</w:t>
        </w:r>
      </w:hyperlink>
      <w:r w:rsidDel="00000000" w:rsidR="00000000" w:rsidRPr="00000000">
        <w:rPr>
          <w:rtl w:val="0"/>
        </w:rPr>
        <w:t xml:space="preserve"> that XRP spot ETFs may begin draining available supply within months, creating conditions for an aggressive price breakout.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He claimed there are “18 pending ETFs”. He suggested that if each attracted even $50 million in daily inflows, the group could absorb roughly $900 million per day. This would be equivalent to hundreds of millions of XRP leaving the market-available supply every 24 hours..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Based on this, he predicts XRP could become “scarce within six to nine months,” potentially forcing prices higher.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2908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However, only four XRP spot ETFs are currently pending: those from Grayscale, CoinShares, 21Shares, and WisdomTree. Other issuers, including Bitwise and Canary Capital, are already live, pulling in over $400 million in inflows.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qijtp4x3swlm" w:id="1"/>
      <w:bookmarkEnd w:id="1"/>
      <w:r w:rsidDel="00000000" w:rsidR="00000000" w:rsidRPr="00000000">
        <w:rPr>
          <w:rtl w:val="0"/>
        </w:rPr>
        <w:t xml:space="preserve">Why XRP Price Hasn’t Reacted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AltcoinFox’s view echoes earlier work from analyst Chad Steingraber. His November 20 model estimated that 12 ETFs could accumulate nearly 40 billion XRP in one year, more than two-thirds of the circulating supply.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 another scenario, he suggested that if total ETF inflows reached $1 billion daily, the entire market-available supply could be consumed within twelve months unless prices rose sharply.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Despite these forecasts, XRP remains under $2. Analysts say ETF accumulation occurs largely OTC, keeping demand hidden from public order books. The price impact may only surface once ETF-driven supply absorption becomes impossible to ignore.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x.com/AltcoinFoxx/status/1990035160897888305?s=20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