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9cu0lcm0u6ne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XRP Poised for 16% Move on Triangle Breakout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XRP finally approaches a decisive move after weeks of flat, frustrating price action. 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symmetrical triangle forming on the one-hour XRP/USDT pair</w:t>
        </w:r>
      </w:hyperlink>
      <w:r w:rsidDel="00000000" w:rsidR="00000000" w:rsidRPr="00000000">
        <w:rPr>
          <w:rtl w:val="0"/>
        </w:rPr>
        <w:t xml:space="preserve"> shows volatility draining out of the market as price compresses between converging trendlines. This pattern signals indecision, but it also often precedes sharp continuation moves once the breakout hits.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XRP trading near $2.05, a clean break above resistance implies a measured-move target near $2.40 - 16% higher. The swings inside the triangle have narrowed noticeably, pushing XRP closer to apex, where markets typically resolve fast and violently.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4127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bigger story is that XRP has not benefited from the historic ETF wave that should have fueled a stronger market reaction. Multiple spot XRP ETFs - led by Canary Capital’s XRPC - have already absorbed more than $900 million in inflows. That level of institutional interest would normally ignite momentum, but heavy distribution from large holders and Bitcoin’s drop below $90,000 wiped out any advantage.</w:t>
      </w:r>
    </w:p>
    <w:p w:rsidR="00000000" w:rsidDel="00000000" w:rsidP="00000000" w:rsidRDefault="00000000" w:rsidRPr="00000000" w14:paraId="00000006">
      <w:pPr>
        <w:pStyle w:val="Heading2"/>
        <w:spacing w:after="240" w:before="240" w:lineRule="auto"/>
        <w:rPr/>
      </w:pPr>
      <w:bookmarkStart w:colFirst="0" w:colLast="0" w:name="_vvvwc06lbx0c" w:id="1"/>
      <w:bookmarkEnd w:id="1"/>
      <w:r w:rsidDel="00000000" w:rsidR="00000000" w:rsidRPr="00000000">
        <w:rPr>
          <w:rtl w:val="0"/>
        </w:rPr>
        <w:t xml:space="preserve">Bottom line for XRP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token now sits 43% below its all-time high and is barely negative year-to-date, a stark contrast to the hype surrounding ETF approvals.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bulls take control at the triangle’s edge, XRP finally gets a setup clean enough to break its stagnant trend — but if the breakout fails, the pattern collapses into yet another lower-trend continuation.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x.com/ali_charts/status/1997877293654352101?s=20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