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both"/>
        <w:rPr/>
      </w:pPr>
      <w:bookmarkStart w:colFirst="0" w:colLast="0" w:name="_qfd4p65p5cig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403,200 Bitcoin Withdrawn From Exchanges, Santiment Reports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New Santiment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data</w:t>
        </w:r>
      </w:hyperlink>
      <w:r w:rsidDel="00000000" w:rsidR="00000000" w:rsidRPr="00000000">
        <w:rPr>
          <w:rtl w:val="0"/>
        </w:rPr>
        <w:t xml:space="preserve"> shows a net 403,200 BTC moved off centralized trading platforms between December 7, 2024, and December 7, 2025. This marks a 2% reduction in the circulating supply held on exchanges.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Exchanges held about 1.8 million BTC (8.13% of supply) in December 2024. One year later, that figure dropped to roughly 1.2 million BTC (6.04%). The steepest decline occurred from late May to late June 2025. According to Santiment, shrinking exchange reserves typically reduce near-term sell pressure.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v9x9abvg9s6r" w:id="1"/>
      <w:bookmarkEnd w:id="1"/>
      <w:r w:rsidDel="00000000" w:rsidR="00000000" w:rsidRPr="00000000">
        <w:rPr>
          <w:rtl w:val="0"/>
        </w:rPr>
        <w:t xml:space="preserve">Bitcoin Price Holds Key Support as Volatility Persists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Bitcoin currently trades at $90,023, down 1.5% on the day and up 3.6% for the week. The asset is still down 11% over the month and 9.6% year-over-year. After hitting an all-time high above $126,000 in October, BTC retraced 28%.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Charts show the market attempting to form a higher low. A breakout above $92,500 may open a move toward $97,000, while losing $88,000 could expose the $84,000 area. Although reduced exchange supply lowers structural downside risk, price remains sensitive to derivatives flows and macro events.</w:t>
      </w:r>
    </w:p>
    <w:p w:rsidR="00000000" w:rsidDel="00000000" w:rsidP="00000000" w:rsidRDefault="00000000" w:rsidRPr="00000000" w14:paraId="00000008">
      <w:pPr>
        <w:pStyle w:val="Heading2"/>
        <w:spacing w:after="240" w:before="240" w:lineRule="auto"/>
        <w:jc w:val="both"/>
        <w:rPr/>
      </w:pPr>
      <w:bookmarkStart w:colFirst="0" w:colLast="0" w:name="_l0sljdr2cl0v" w:id="2"/>
      <w:bookmarkEnd w:id="2"/>
      <w:r w:rsidDel="00000000" w:rsidR="00000000" w:rsidRPr="00000000">
        <w:rPr>
          <w:rtl w:val="0"/>
        </w:rPr>
        <w:t xml:space="preserve">Analysts Watch Liquidity and RSI Signals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Analyst Goos highlights rising U.S. repo activity, echoing the stress seen before the 2019–2020 liquidity crunch, as a potential precursor to a major move similar to Bitcoin’s 2021 rally.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Separately, Ash Crypto notes Bitcoin has touched the weekly 36-RSI only five times in history, each preceding major upside. The latest touch in 2025 supports expectations for a bullish 2026.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i/status/199811185841947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