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both"/>
        <w:rPr/>
      </w:pPr>
      <w:bookmarkStart w:colFirst="0" w:colLast="0" w:name="_vttaes1utdbh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Here’s How 1,000 XRP Worth $2,000 Today Could Become $1 Million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With XRP near $2, buying 1,000 tokens costs roughly $2,000 today. The big question remains: how could that relatively small sum ever </w:t>
      </w:r>
      <w:r w:rsidDel="00000000" w:rsidR="00000000" w:rsidRPr="00000000">
        <w:rPr>
          <w:highlight w:val="yellow"/>
          <w:rtl w:val="0"/>
        </w:rPr>
        <w:t xml:space="preserve">grow</w:t>
      </w:r>
      <w:r w:rsidDel="00000000" w:rsidR="00000000" w:rsidRPr="00000000">
        <w:rPr>
          <w:rtl w:val="0"/>
        </w:rPr>
        <w:t xml:space="preserve"> into $1 million? For 1,000 XRP to be worth $1 million, the price must reach $1,000 per token, a 49,900% </w:t>
      </w:r>
      <w:r w:rsidDel="00000000" w:rsidR="00000000" w:rsidRPr="00000000">
        <w:rPr>
          <w:highlight w:val="yellow"/>
          <w:rtl w:val="0"/>
        </w:rPr>
        <w:t xml:space="preserve">increase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Changelly, a crypto exchange, projects XRP to reach $100 by 2033–2034. Telegaon suggested $285 by 2050. CryptoGuard’s Matthew Brienen has argued that XRP will reach $1,000 by the mid-2030s.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32n754ssoxi0" w:id="1"/>
      <w:bookmarkEnd w:id="1"/>
      <w:r w:rsidDel="00000000" w:rsidR="00000000" w:rsidRPr="00000000">
        <w:rPr>
          <w:rtl w:val="0"/>
        </w:rPr>
        <w:t xml:space="preserve">Can XRP Reach $1,000?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Bitcoin surged from $0.005 in 2009 to $126,000 in 2025. Similarly, Ethereum climbed from $1 to nearly $5,000, and Solana rose from below $1 to over $250.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XRP’s main hurdle is its 100 billion token supply. At $1,000 per XRP, its valuation would be $100 trillion. This reality has led many to seek alternatives with stronger upside-to-supply dynamics.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5gudpt8rorlm" w:id="2"/>
      <w:bookmarkEnd w:id="2"/>
      <w:r w:rsidDel="00000000" w:rsidR="00000000" w:rsidRPr="00000000">
        <w:rPr>
          <w:rtl w:val="0"/>
        </w:rPr>
        <w:t xml:space="preserve">A Realistic Path To Life-Changing Growth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While XRP faces decade-long projections,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 offers a more realistic path to major upside. The token has risen more than 260% in recent months to 0.00012605 USDT.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 current prices, $50 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ures roughly 400,000 MTAUR. If it reaches </w:t>
      </w:r>
      <w:r w:rsidDel="00000000" w:rsidR="00000000" w:rsidRPr="00000000">
        <w:rPr>
          <w:b w:val="1"/>
          <w:bCs w:val="1"/>
          <w:rtl w:val="0"/>
        </w:rPr>
        <w:t xml:space="preserve">0.012</w:t>
      </w:r>
      <w:r w:rsidDel="00000000" w:rsidR="00000000" w:rsidRPr="00000000">
        <w:rPr>
          <w:rtl w:val="0"/>
        </w:rPr>
        <w:t xml:space="preserve">, that position becomes </w:t>
      </w:r>
      <w:r w:rsidDel="00000000" w:rsidR="00000000" w:rsidRPr="00000000">
        <w:rPr>
          <w:b w:val="1"/>
          <w:bCs w:val="1"/>
          <w:rtl w:val="0"/>
        </w:rPr>
        <w:t xml:space="preserve">$5,000</w:t>
      </w:r>
      <w:r w:rsidDel="00000000" w:rsidR="00000000" w:rsidRPr="00000000">
        <w:rPr>
          <w:rtl w:val="0"/>
        </w:rPr>
        <w:t xml:space="preserve">. If it climbs to </w:t>
      </w:r>
      <w:r w:rsidDel="00000000" w:rsidR="00000000" w:rsidRPr="00000000">
        <w:rPr>
          <w:b w:val="1"/>
          <w:bCs w:val="1"/>
          <w:rtl w:val="0"/>
        </w:rPr>
        <w:t xml:space="preserve">0.12 USDT</w:t>
      </w:r>
      <w:r w:rsidDel="00000000" w:rsidR="00000000" w:rsidRPr="00000000">
        <w:rPr>
          <w:rtl w:val="0"/>
        </w:rPr>
        <w:t xml:space="preserve">, the upside becomes dramatically higher, offering the same opportunities that early holders once saw in XRP, SOL, and ETH.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Notably, Minotaurus is also </w:t>
      </w:r>
      <w:r w:rsidDel="00000000" w:rsidR="00000000" w:rsidRPr="00000000">
        <w:rPr>
          <w:b w:val="1"/>
          <w:bCs w:val="1"/>
          <w:rtl w:val="0"/>
        </w:rPr>
        <w:t xml:space="preserve">audited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The team has also confirmed that </w:t>
      </w:r>
      <w:r w:rsidDel="00000000" w:rsidR="00000000" w:rsidRPr="00000000">
        <w:rPr>
          <w:b w:val="1"/>
          <w:bCs w:val="1"/>
          <w:rtl w:val="0"/>
        </w:rPr>
        <w:t xml:space="preserve">major announcements and partnerships</w:t>
      </w:r>
      <w:r w:rsidDel="00000000" w:rsidR="00000000" w:rsidRPr="00000000">
        <w:rPr>
          <w:rtl w:val="0"/>
        </w:rPr>
        <w:t xml:space="preserve"> are on the horizon.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To l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highlight w:val="yellow"/>
            <w:u w:val="single"/>
            <w:rtl w:val="0"/>
          </w:rPr>
          <w:t xml:space="preserve">earn</w:t>
        </w:r>
      </w:hyperlink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 more and explore the ecosystem, visit the official Minotaurus website.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commentRangeStart w:id="0"/>
      <w:r w:rsidDel="00000000" w:rsidR="00000000" w:rsidRPr="00000000">
        <w:rPr/>
        <w:drawing>
          <wp:inline distB="114300" distT="114300" distL="114300" distR="114300">
            <wp:extent cx="5943600" cy="5511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Nick Stars" w:id="0" w:date="2025-12-16T07:33:23Z"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https://minotaurus.io/?utm_source=bitcoinsistemi.com&amp;utm_campaign=n1al4jganam5j1khd14w&amp;PropertyValue=syrxinjj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inotaurus.io/?utm_source=bitcoinsistemi.com&amp;utm_campaign=n1al4jganam5j1khd14w&amp;PropertyValue=syrxinjj" TargetMode="External"/><Relationship Id="rId10" Type="http://schemas.openxmlformats.org/officeDocument/2006/relationships/hyperlink" Target="https://minotaurus.io/?utm_source=bitcoinsistemi.com&amp;utm_campaign=n1al4jganam5j1khd14w&amp;PropertyValue=syrxinjj" TargetMode="External"/><Relationship Id="rId13" Type="http://schemas.openxmlformats.org/officeDocument/2006/relationships/header" Target="header1.xm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minotaurus.io/?utm_source=bitcoinsistemi.com&amp;utm_campaign=n1al4jganam5j1khd14w&amp;PropertyValue=syrxinjj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jpg"/><Relationship Id="rId8" Type="http://schemas.openxmlformats.org/officeDocument/2006/relationships/hyperlink" Target="https://minotaurus.io/?utm_source=bitcoinsistemi.com&amp;utm_campaign=n1al4jganam5j1khd14w&amp;PropertyValue=syrxinj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