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jc w:val="center"/>
        <w:rPr>
          <w:b w:val="1"/>
          <w:bCs w:val="1"/>
        </w:rPr>
      </w:pPr>
      <w:bookmarkStart w:colFirst="0" w:colLast="0" w:name="_7cg86l5xu6h7" w:id="0"/>
      <w:bookmarkEnd w:id="0"/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33401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bCs w:val="1"/>
          <w:rtl w:val="0"/>
        </w:rPr>
        <w:t xml:space="preserve">Solana Crosses $1.6T Volume, Beats Top Exchanges, Opens Path For Utility Tokens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Solana has sh</w:t>
      </w:r>
      <w:r w:rsidDel="00000000" w:rsidR="00000000" w:rsidRPr="00000000">
        <w:rPr>
          <w:rtl w:val="0"/>
        </w:rPr>
        <w:t xml:space="preserve">own</w:t>
      </w:r>
      <w:r w:rsidDel="00000000" w:rsidR="00000000" w:rsidRPr="00000000">
        <w:rPr>
          <w:rtl w:val="0"/>
        </w:rPr>
        <w:t xml:space="preserve"> renewed strength after breaking out of a monthlong d</w:t>
      </w:r>
      <w:r w:rsidDel="00000000" w:rsidR="00000000" w:rsidRPr="00000000">
        <w:rPr>
          <w:rtl w:val="0"/>
        </w:rPr>
        <w:t xml:space="preserve">own</w:t>
      </w:r>
      <w:r w:rsidDel="00000000" w:rsidR="00000000" w:rsidRPr="00000000">
        <w:rPr>
          <w:rtl w:val="0"/>
        </w:rPr>
        <w:t xml:space="preserve">trend. The token’s price rebound reflects rising demand across its ecosystem. Recent activity suggests </w:t>
      </w:r>
      <w:r w:rsidDel="00000000" w:rsidR="00000000" w:rsidRPr="00000000">
        <w:rPr>
          <w:rtl w:val="0"/>
        </w:rPr>
        <w:t xml:space="preserve">grow</w:t>
      </w:r>
      <w:r w:rsidDel="00000000" w:rsidR="00000000" w:rsidRPr="00000000">
        <w:rPr>
          <w:rtl w:val="0"/>
        </w:rPr>
        <w:t xml:space="preserve">ing confidence among market participants.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Solana has also outperformed several major exchanges this year. That momentum has helped reposition the network as a serious contender in digital asset infrastructure.</w:t>
      </w:r>
    </w:p>
    <w:p w:rsidR="00000000" w:rsidDel="00000000" w:rsidP="00000000" w:rsidRDefault="00000000" w:rsidRPr="00000000" w14:paraId="00000006">
      <w:pPr>
        <w:pStyle w:val="Heading2"/>
        <w:rPr>
          <w:b w:val="1"/>
          <w:bCs w:val="1"/>
        </w:rPr>
      </w:pPr>
      <w:bookmarkStart w:colFirst="0" w:colLast="0" w:name="_4en80v1sauzf" w:id="1"/>
      <w:bookmarkEnd w:id="1"/>
      <w:r w:rsidDel="00000000" w:rsidR="00000000" w:rsidRPr="00000000">
        <w:rPr>
          <w:b w:val="1"/>
          <w:bCs w:val="1"/>
          <w:rtl w:val="0"/>
        </w:rPr>
        <w:t xml:space="preserve">How Has Solana Performed In 2025?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Solana’s performance in 2025 has exceeded many centralized exchanges by volume. According to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Artemis researcher ZJ</w:t>
        </w:r>
      </w:hyperlink>
      <w:r w:rsidDel="00000000" w:rsidR="00000000" w:rsidRPr="00000000">
        <w:rPr>
          <w:rtl w:val="0"/>
        </w:rPr>
        <w:t xml:space="preserve">, decentralized exchange activity on Solana reached $1.6 trillion. This figure places Solana </w:t>
      </w:r>
      <w:r w:rsidDel="00000000" w:rsidR="00000000" w:rsidRPr="00000000">
        <w:rPr>
          <w:rtl w:val="0"/>
        </w:rPr>
        <w:t xml:space="preserve">sec</w:t>
      </w:r>
      <w:r w:rsidDel="00000000" w:rsidR="00000000" w:rsidRPr="00000000">
        <w:rPr>
          <w:rtl w:val="0"/>
        </w:rPr>
        <w:t xml:space="preserve">ond overall, trailing only Binance at $7.2 trillion. The data highlights how on-chain exchanging has expanded at a rapid pace.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9083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Solana vs CEXes - Source -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ZJ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Solana surpassed platforms including Bybit, Coinbase Global, and Bitget. ZJ noted on X that Solana ranked fifth among major venues just one year ago.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i w:val="1"/>
          <w:iCs w:val="1"/>
          <w:rtl w:val="0"/>
        </w:rPr>
        <w:t xml:space="preserve">“just a year ago, solana was 5th among major CEXes. today in 2025, it’s 2nd - only behind Binance, having just overtaken Bybit. with propAMMs and CLOBs being a major </w:t>
      </w:r>
      <w:r w:rsidDel="00000000" w:rsidR="00000000" w:rsidRPr="00000000">
        <w:rPr>
          <w:i w:val="1"/>
          <w:iCs w:val="1"/>
          <w:rtl w:val="0"/>
        </w:rPr>
        <w:t xml:space="preserve">growth</w:t>
      </w:r>
      <w:r w:rsidDel="00000000" w:rsidR="00000000" w:rsidRPr="00000000">
        <w:rPr>
          <w:i w:val="1"/>
          <w:iCs w:val="1"/>
          <w:rtl w:val="0"/>
        </w:rPr>
        <w:t xml:space="preserve"> story in recent months for solana. its hard not to be bullish looking into 2026 (sic),</w:t>
      </w:r>
      <w:r w:rsidDel="00000000" w:rsidR="00000000" w:rsidRPr="00000000">
        <w:rPr>
          <w:rtl w:val="0"/>
        </w:rPr>
        <w:t xml:space="preserve">” ZJ noted.</w:t>
      </w:r>
    </w:p>
    <w:p w:rsidR="00000000" w:rsidDel="00000000" w:rsidP="00000000" w:rsidRDefault="00000000" w:rsidRPr="00000000" w14:paraId="00000010">
      <w:pPr>
        <w:pStyle w:val="Heading2"/>
        <w:rPr>
          <w:b w:val="1"/>
          <w:bCs w:val="1"/>
        </w:rPr>
      </w:pPr>
      <w:bookmarkStart w:colFirst="0" w:colLast="0" w:name="_o7e16dbumfo1" w:id="2"/>
      <w:bookmarkEnd w:id="2"/>
      <w:r w:rsidDel="00000000" w:rsidR="00000000" w:rsidRPr="00000000">
        <w:rPr>
          <w:b w:val="1"/>
          <w:bCs w:val="1"/>
          <w:rtl w:val="0"/>
        </w:rPr>
        <w:t xml:space="preserve">Can Solana Price Recover Soon?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Solana spent most of December moving under a clear d</w:t>
      </w:r>
      <w:r w:rsidDel="00000000" w:rsidR="00000000" w:rsidRPr="00000000">
        <w:rPr>
          <w:rtl w:val="0"/>
        </w:rPr>
        <w:t xml:space="preserve">own</w:t>
      </w:r>
      <w:r w:rsidDel="00000000" w:rsidR="00000000" w:rsidRPr="00000000">
        <w:rPr>
          <w:rtl w:val="0"/>
        </w:rPr>
        <w:t xml:space="preserve">trend. That structure broke this week as buying pressure has risen. The token is now holding above the $120 level. Holders are watching a potential move toward the $133 resistance. Sustained volume would be needed to support that advance.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6543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Solana Price - Source -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TradingView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Holder demand continues to support price action. Solana’s use in payments, exchanging, and applications reinforces its utility narrative. This positioning may help SOL extend its rise. Analysts see $140 as a possible target if momentum holds. Market conditions remain a key variable.</w:t>
      </w:r>
    </w:p>
    <w:p w:rsidR="00000000" w:rsidDel="00000000" w:rsidP="00000000" w:rsidRDefault="00000000" w:rsidRPr="00000000" w14:paraId="00000018">
      <w:pPr>
        <w:pStyle w:val="Heading2"/>
        <w:rPr>
          <w:b w:val="1"/>
          <w:bCs w:val="1"/>
        </w:rPr>
      </w:pPr>
      <w:bookmarkStart w:colFirst="0" w:colLast="0" w:name="_equbebkts797" w:id="3"/>
      <w:bookmarkEnd w:id="3"/>
      <w:r w:rsidDel="00000000" w:rsidR="00000000" w:rsidRPr="00000000">
        <w:rPr>
          <w:b w:val="1"/>
          <w:bCs w:val="1"/>
          <w:rtl w:val="0"/>
        </w:rPr>
        <w:t xml:space="preserve">How Is Solana Setting Up Minotaurus (MTAUR)?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Solana’s surge underscores rising interest in utility-driven crypto assets. Networks that support real activity often attract durable demand. This could also help other similar utility-driven tokens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such as Minotaurus (MTAUR)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Minotaurus (MTAUR) follows a similar approach within gaming. The token is integrated directly into gameplay mechanics.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Players use MTAUR</w:t>
        </w:r>
      </w:hyperlink>
      <w:r w:rsidDel="00000000" w:rsidR="00000000" w:rsidRPr="00000000">
        <w:rPr>
          <w:rtl w:val="0"/>
        </w:rPr>
        <w:t xml:space="preserve"> to upgrade equipment and unlock levels. It also enhances character abilities. This structure ties demand to in-game activity rather than speculation.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MTAUR is priced</w:t>
        </w:r>
      </w:hyperlink>
      <w:r w:rsidDel="00000000" w:rsidR="00000000" w:rsidRPr="00000000">
        <w:rPr>
          <w:rtl w:val="0"/>
        </w:rPr>
        <w:t xml:space="preserve"> near 0.000126 USDT, offering a low entry point. Its distribution emphasizes balance, with 2% allocated to the team. Another 10% is reserved for community incentives. As Solana continues to expand, utility-focused tokens may benefit from broader market validation.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tradingview.com/" TargetMode="External"/><Relationship Id="rId10" Type="http://schemas.openxmlformats.org/officeDocument/2006/relationships/image" Target="media/image2.png"/><Relationship Id="rId13" Type="http://schemas.openxmlformats.org/officeDocument/2006/relationships/hyperlink" Target="https://minotaurus.io/?utm_source=bitcoinsistemi.com&amp;utm_campaign=6gqjcdortdad4tqntn5j&amp;PropertyValue=d6jav0js" TargetMode="External"/><Relationship Id="rId12" Type="http://schemas.openxmlformats.org/officeDocument/2006/relationships/hyperlink" Target="https://minotaurus.io/?utm_source=bitcoinsistemi.com&amp;utm_campaign=6gqjcdortdad4tqntn5j&amp;PropertyValue=d6jav0j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x.com/0xslayerrrr/status/2005395556714373200" TargetMode="External"/><Relationship Id="rId14" Type="http://schemas.openxmlformats.org/officeDocument/2006/relationships/hyperlink" Target="https://minotaurus.io/?utm_source=bitcoinsistemi.com&amp;utm_campaign=6gqjcdortdad4tqntn5j&amp;PropertyValue=d6jav0js" TargetMode="Externa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yperlink" Target="https://x.com/0xslayerrrr/status/2005395556714373200" TargetMode="Externa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