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tqyy51bd26h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BYDFi Review: Fees + Perpetuals Experience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0607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modern financial markets, clarity, efficiency, and security are essential for investors. BYDFi offers a platform designed to meet these needs. From </w:t>
      </w:r>
      <w:r w:rsidDel="00000000" w:rsidR="00000000" w:rsidRPr="00000000">
        <w:rPr>
          <w:rtl w:val="0"/>
        </w:rPr>
        <w:t xml:space="preserve">transparent trading fees</w:t>
      </w:r>
      <w:r w:rsidDel="00000000" w:rsidR="00000000" w:rsidRPr="00000000">
        <w:rPr>
          <w:rtl w:val="0"/>
        </w:rPr>
        <w:t xml:space="preserve"> to professional-grade perpetual contracts, the platform aims to serve both individual and institutional users.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review provides a detailed look at </w:t>
      </w:r>
      <w:r w:rsidDel="00000000" w:rsidR="00000000" w:rsidRPr="00000000">
        <w:rPr>
          <w:rtl w:val="0"/>
        </w:rPr>
        <w:t xml:space="preserve">BYDFi trading fees</w:t>
      </w:r>
      <w:r w:rsidDel="00000000" w:rsidR="00000000" w:rsidRPr="00000000">
        <w:rPr>
          <w:rtl w:val="0"/>
        </w:rPr>
        <w:t xml:space="preserve">, perpetual trading experience, security measures, platform design, and strategic credibility—including its sponsorship of Newcastle United, which underscores BYDFi’s global reach.</w:t>
      </w:r>
    </w:p>
    <w:p w:rsidR="00000000" w:rsidDel="00000000" w:rsidP="00000000" w:rsidRDefault="00000000" w:rsidRPr="00000000" w14:paraId="00000005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Company Overview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Founded in 2020, BYDFi has grown rapidly to serve over 1 million users across 190+ countries. Its business model focuses on providing a reliable, transparent, and scalable platform. BYDFi’s international credibility is reinforced by its </w:t>
      </w:r>
      <w:r w:rsidDel="00000000" w:rsidR="00000000" w:rsidRPr="00000000">
        <w:rPr>
          <w:b w:val="1"/>
          <w:bCs w:val="1"/>
          <w:rtl w:val="0"/>
        </w:rPr>
        <w:t xml:space="preserve">partnership with Newcastle United</w:t>
      </w:r>
      <w:r w:rsidDel="00000000" w:rsidR="00000000" w:rsidRPr="00000000">
        <w:rPr>
          <w:rtl w:val="0"/>
        </w:rPr>
        <w:t xml:space="preserve">, a Premier League football club, highlighting the brand’s global recognition and commitment to professionalism.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h1lj9yfpj59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Key Highlights of BYDFi: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Transparent </w:t>
      </w:r>
      <w:r w:rsidDel="00000000" w:rsidR="00000000" w:rsidRPr="00000000">
        <w:rPr>
          <w:b w:val="1"/>
          <w:bCs w:val="1"/>
          <w:rtl w:val="0"/>
        </w:rPr>
        <w:t xml:space="preserve">trading fees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Advanced perpetual contract offerings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Multi-platform access (desktop &amp; mobile)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Strong security and compliance measures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Global brand credibility</w:t>
        <w:br w:type="textWrapping"/>
      </w:r>
    </w:p>
    <w:p w:rsidR="00000000" w:rsidDel="00000000" w:rsidP="00000000" w:rsidRDefault="00000000" w:rsidRPr="00000000" w14:paraId="0000000D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BYDFi Trading Fees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 of BYDFi’s strongest selling points is its </w:t>
      </w:r>
      <w:r w:rsidDel="00000000" w:rsidR="00000000" w:rsidRPr="00000000">
        <w:rPr>
          <w:b w:val="1"/>
          <w:bCs w:val="1"/>
          <w:rtl w:val="0"/>
        </w:rPr>
        <w:t xml:space="preserve">transparent fee structure</w:t>
      </w:r>
      <w:r w:rsidDel="00000000" w:rsidR="00000000" w:rsidRPr="00000000">
        <w:rPr>
          <w:rtl w:val="0"/>
        </w:rPr>
        <w:t xml:space="preserve">. Investors can calculate costs accurately, ensuring that trading decisions are made without surprises.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es9ajklb5v4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Fee Overview</w:t>
      </w:r>
    </w:p>
    <w:tbl>
      <w:tblPr>
        <w:tblStyle w:val="Table1"/>
        <w:tblW w:w="68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80"/>
        <w:gridCol w:w="1265"/>
        <w:gridCol w:w="1370"/>
        <w:gridCol w:w="2000"/>
        <w:tblGridChange w:id="0">
          <w:tblGrid>
            <w:gridCol w:w="2180"/>
            <w:gridCol w:w="1265"/>
            <w:gridCol w:w="1370"/>
            <w:gridCol w:w="20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Trading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Fee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BYDFi Fee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Industry 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Spot Trading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Standard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0.1%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0.15%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Perpetual Contract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Maker Fee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0.02%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0.05%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Perpetual Contract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Taker Fee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0.06%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0.08%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Maximum Leverage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200x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100x-125x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Fee Transparency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Full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Moderate</w:t>
            </w:r>
          </w:p>
        </w:tc>
      </w:tr>
    </w:tbl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combination of competitive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BYDFi trading fees</w:t>
        </w:r>
      </w:hyperlink>
      <w:r w:rsidDel="00000000" w:rsidR="00000000" w:rsidRPr="00000000">
        <w:rPr>
          <w:rtl w:val="0"/>
        </w:rPr>
        <w:t xml:space="preserve"> and high leverage options makes the platform attractive for serious investors seeking both cost efficiency and flexibility.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pdd4qd4crac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Comparison with Industry Standards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Compared to competitors, BYDFi maintains </w:t>
      </w:r>
      <w:r w:rsidDel="00000000" w:rsidR="00000000" w:rsidRPr="00000000">
        <w:rPr>
          <w:b w:val="1"/>
          <w:bCs w:val="1"/>
          <w:rtl w:val="0"/>
        </w:rPr>
        <w:t xml:space="preserve">lower trading fees</w:t>
      </w:r>
      <w:r w:rsidDel="00000000" w:rsidR="00000000" w:rsidRPr="00000000">
        <w:rPr>
          <w:rtl w:val="0"/>
        </w:rPr>
        <w:t xml:space="preserve"> while delivering professional execution and risk management tools. This allows investors to focus on strategy rather than hidden costs.</w:t>
      </w:r>
    </w:p>
    <w:p w:rsidR="00000000" w:rsidDel="00000000" w:rsidP="00000000" w:rsidRDefault="00000000" w:rsidRPr="00000000" w14:paraId="0000002B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Perpetual Trading Experience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Perpetual contracts are essential for investors looking for long-term positions without expiration constraints. BYDFi offers advanced features for perpetual trading that prioritize precision and efficiency.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vmu63xx4bw1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Key Perpetual Features</w:t>
      </w:r>
    </w:p>
    <w:tbl>
      <w:tblPr>
        <w:tblStyle w:val="Table2"/>
        <w:tblW w:w="62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40"/>
        <w:gridCol w:w="4310"/>
        <w:tblGridChange w:id="0">
          <w:tblGrid>
            <w:gridCol w:w="1940"/>
            <w:gridCol w:w="431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BYDFi Advantage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Leverage Options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1x – 200x, flexible capital allocation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Margin Modes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Isolated &amp; Cross Margin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Execution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Real-time, precise order placement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Analytics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Profit/Loss tracking, risk indicators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Security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Proof of Reserves &amp; multi-level approvals</w:t>
            </w:r>
          </w:p>
        </w:tc>
      </w:tr>
    </w:tbl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BYDFi’s perpetual trading system ensures fast execution, minimal slippage, and clear tracking of positions. Investors can monitor risk and performance in real-time, enhancing confidence in decision-making.</w:t>
      </w:r>
    </w:p>
    <w:p w:rsidR="00000000" w:rsidDel="00000000" w:rsidP="00000000" w:rsidRDefault="00000000" w:rsidRPr="00000000" w14:paraId="0000003B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Security and Compliance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Security is a critical factor in choosing a financial platform. BYDFi incorporates multiple layers of protection to safeguard investor assets.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yrz6ba7e09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Security Measures</w:t>
      </w:r>
    </w:p>
    <w:tbl>
      <w:tblPr>
        <w:tblStyle w:val="Table3"/>
        <w:tblW w:w="7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25"/>
        <w:gridCol w:w="4520"/>
        <w:tblGridChange w:id="0">
          <w:tblGrid>
            <w:gridCol w:w="2825"/>
            <w:gridCol w:w="452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Security 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Proof of Reserves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222222"/>
                <w:sz w:val="20"/>
                <w:szCs w:val="20"/>
                <w:highlight w:val="white"/>
                <w:rtl w:val="0"/>
              </w:rPr>
              <w:t xml:space="preserve">Over</w:t>
            </w:r>
            <w:r w:rsidDel="00000000" w:rsidR="00000000" w:rsidRPr="00000000">
              <w:rPr>
                <w:rFonts w:ascii="Verdana" w:cs="Verdana" w:eastAsia="Verdana" w:hAnsi="Verdana"/>
                <w:color w:val="222222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222222"/>
                <w:sz w:val="20"/>
                <w:szCs w:val="20"/>
                <w:highlight w:val="white"/>
                <w:rtl w:val="0"/>
              </w:rPr>
              <w:t xml:space="preserve">1:1 reserves</w:t>
            </w:r>
            <w:r w:rsidDel="00000000" w:rsidR="00000000" w:rsidRPr="00000000">
              <w:rPr>
                <w:rFonts w:ascii="Verdana" w:cs="Verdana" w:eastAsia="Verdana" w:hAnsi="Verdana"/>
                <w:color w:val="222222"/>
                <w:sz w:val="20"/>
                <w:szCs w:val="20"/>
                <w:highlight w:val="white"/>
                <w:rtl w:val="0"/>
              </w:rPr>
              <w:t xml:space="preserve"> with periodic public reports and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222222"/>
                <w:sz w:val="20"/>
                <w:szCs w:val="20"/>
                <w:highlight w:val="white"/>
                <w:rtl w:val="0"/>
              </w:rPr>
              <w:t xml:space="preserve">800 BTC</w:t>
            </w:r>
            <w:r w:rsidDel="00000000" w:rsidR="00000000" w:rsidRPr="00000000">
              <w:rPr>
                <w:rFonts w:ascii="Verdana" w:cs="Verdana" w:eastAsia="Verdana" w:hAnsi="Verdana"/>
                <w:color w:val="222222"/>
                <w:sz w:val="20"/>
                <w:szCs w:val="20"/>
                <w:highlight w:val="white"/>
                <w:rtl w:val="0"/>
              </w:rPr>
              <w:t xml:space="preserve"> Protection Fund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Cold Storage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Offline storage for majority of funds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Multi-Party Approval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Requires multiple signatures for transactions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Two-Factor Authentication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Extra layer for account protection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Regulatory Compliance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sz w:val="20"/>
                <w:szCs w:val="20"/>
                <w:highlight w:val="white"/>
                <w:rtl w:val="0"/>
              </w:rPr>
              <w:t xml:space="preserve">BYDFi has MSB registrations and it's member of South Korea’s CODE VASP Alliance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measures ensure that BYDFi operates with transparency and reliability, building trust for both retail and institutional investors.</w:t>
      </w:r>
    </w:p>
    <w:p w:rsidR="00000000" w:rsidDel="00000000" w:rsidP="00000000" w:rsidRDefault="00000000" w:rsidRPr="00000000" w14:paraId="0000004B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Platform Design and User Experience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BYDFi provides a seamless experience across desktop and mobile devices, catering to the needs of global users.</w:t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qqa48uww3r3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Platform Features</w:t>
      </w:r>
    </w:p>
    <w:tbl>
      <w:tblPr>
        <w:tblStyle w:val="Table4"/>
        <w:tblW w:w="86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60"/>
        <w:gridCol w:w="2720"/>
        <w:gridCol w:w="3545"/>
        <w:tblGridChange w:id="0">
          <w:tblGrid>
            <w:gridCol w:w="2360"/>
            <w:gridCol w:w="2720"/>
            <w:gridCol w:w="354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Desktop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Mobile App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Dashboard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Comprehensive overview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Real-time portfolio tracking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Order Types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Spot &amp; Perpetual trading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One-click execution &amp; monitoring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Notifications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Alerts &amp; reports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Push notifications for trades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Account Management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Multi-wallet management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Seamless switching &amp; overview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Analytical Tools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Charts, indicators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On-the-go analytics</w:t>
            </w:r>
          </w:p>
        </w:tc>
      </w:tr>
    </w:tbl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BYDFi allows users to switch between desktop and mobile platforms without losing continuity. The platform design is clean, professional, and intuitive, making complex </w:t>
      </w: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financial management easy to understand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1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Strategic Partnerships</w:t>
      </w:r>
    </w:p>
    <w:p w:rsidR="00000000" w:rsidDel="00000000" w:rsidP="00000000" w:rsidRDefault="00000000" w:rsidRPr="00000000" w14:paraId="00000062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</w:rPr>
        <w:drawing>
          <wp:inline distB="114300" distT="114300" distL="114300" distR="114300">
            <wp:extent cx="5943600" cy="33401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BYDFi’s sponsorship of </w:t>
      </w:r>
      <w:hyperlink r:id="rId1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Newcastle United</w:t>
        </w:r>
      </w:hyperlink>
      <w:r w:rsidDel="00000000" w:rsidR="00000000" w:rsidRPr="00000000">
        <w:rPr>
          <w:rtl w:val="0"/>
        </w:rPr>
        <w:t xml:space="preserve"> strengthens its global business credibility. By partnering with a Premier League club, BYDFi gains international visibility, reinforcing trust among professional investors.</w:t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nwelqp4xfjx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Benefits of the Partnership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Enhanced brand credibility</w:t>
        <w:br w:type="textWrapping"/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Access to a global audience</w:t>
        <w:br w:type="textWrapping"/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Alignment with professional and corporate standards</w:t>
        <w:br w:type="textWrapping"/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Newcastle United partnership signals BYDFi’s commitment to professionalism and its strategic approach to global growth.</w:t>
      </w:r>
    </w:p>
    <w:p w:rsidR="00000000" w:rsidDel="00000000" w:rsidP="00000000" w:rsidRDefault="00000000" w:rsidRPr="00000000" w14:paraId="00000069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Advantages of BYDFi</w:t>
      </w:r>
    </w:p>
    <w:tbl>
      <w:tblPr>
        <w:tblStyle w:val="Table5"/>
        <w:tblW w:w="91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75"/>
        <w:gridCol w:w="6200"/>
        <w:tblGridChange w:id="0">
          <w:tblGrid>
            <w:gridCol w:w="2975"/>
            <w:gridCol w:w="62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Advantage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Transparent Trading Costs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Competitive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BYDFi trading fees</w:t>
            </w:r>
            <w:r w:rsidDel="00000000" w:rsidR="00000000" w:rsidRPr="00000000">
              <w:rPr>
                <w:rtl w:val="0"/>
              </w:rPr>
              <w:t xml:space="preserve"> ensure predictable expenses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Advanced Perpetual Trading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High leverage, flexible margins, and real-time execution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User-Friendly Interface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Professional dashboard for desktop and mobile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Security and Compliance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Proof of Reserves, 2FA, and regulatory adherence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Global Reach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Serving 1M+ users in 190+ countries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Credible Brand Partnerships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Newcastle United sponsorship strengthens trust</w:t>
            </w:r>
          </w:p>
        </w:tc>
      </w:tr>
    </w:tbl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BYDFi combines professional-grade tools with accessibility, making it ideal for investors who prioritize clarity, security, and efficiency.</w:t>
      </w:r>
    </w:p>
    <w:p w:rsidR="00000000" w:rsidDel="00000000" w:rsidP="00000000" w:rsidRDefault="00000000" w:rsidRPr="00000000" w14:paraId="00000079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Trading Fees in Practice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Investors using BYDFi benefit from consistent and clear </w:t>
      </w:r>
      <w:r w:rsidDel="00000000" w:rsidR="00000000" w:rsidRPr="00000000">
        <w:rPr>
          <w:b w:val="1"/>
          <w:bCs w:val="1"/>
          <w:rtl w:val="0"/>
        </w:rPr>
        <w:t xml:space="preserve">trading fees</w:t>
      </w:r>
      <w:r w:rsidDel="00000000" w:rsidR="00000000" w:rsidRPr="00000000">
        <w:rPr>
          <w:rtl w:val="0"/>
        </w:rPr>
        <w:t xml:space="preserve"> that allow accurate cost management. Unlike other platforms, there are no hidden charges, enabling reliable planning for both short-term and long-term strategies.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BYDFi also provides flexible fee management for VIP users, offering tiered reductions based on trading volume, further enhancing its appeal for professional investors.</w:t>
      </w:r>
    </w:p>
    <w:p w:rsidR="00000000" w:rsidDel="00000000" w:rsidP="00000000" w:rsidRDefault="00000000" w:rsidRPr="00000000" w14:paraId="0000007C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Mobile vs Desktop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BYDFi offers a fully functional mobile platform, ideal for investors on the go. The mobile version includes:</w:t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Real-time portfolio monitoring</w:t>
        <w:br w:type="textWrapping"/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One-click order execution</w:t>
        <w:br w:type="textWrapping"/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Push notifications for key trading events</w:t>
        <w:br w:type="textWrapping"/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Multi-wallet management</w:t>
        <w:br w:type="textWrapping"/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Desktop users benefit from advanced analytical tools, multi-window support, and deeper market visibility. Both platforms share a unified account system for seamless switching.</w:t>
      </w:r>
    </w:p>
    <w:p w:rsidR="00000000" w:rsidDel="00000000" w:rsidP="00000000" w:rsidRDefault="00000000" w:rsidRPr="00000000" w14:paraId="00000083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FAQs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 What are BYDFi trading fees?</w:t>
        <w:br w:type="textWrapping"/>
      </w:r>
      <w:r w:rsidDel="00000000" w:rsidR="00000000" w:rsidRPr="00000000">
        <w:rPr>
          <w:rtl w:val="0"/>
        </w:rPr>
        <w:t xml:space="preserve"> BYDFi charges 0.1% for spot trades and 0.02%/0.06% for maker/taker fees on perpetual contracts.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 Can I trade with high leverage?</w:t>
        <w:br w:type="textWrapping"/>
      </w:r>
      <w:r w:rsidDel="00000000" w:rsidR="00000000" w:rsidRPr="00000000">
        <w:rPr>
          <w:rtl w:val="0"/>
        </w:rPr>
        <w:t xml:space="preserve"> Yes, BYDFi supports leverage up to 200x for perpetual contracts.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 How does BYDFi ensure security?</w:t>
        <w:br w:type="textWrapping"/>
      </w:r>
      <w:r w:rsidDel="00000000" w:rsidR="00000000" w:rsidRPr="00000000">
        <w:rPr>
          <w:rtl w:val="0"/>
        </w:rPr>
        <w:t xml:space="preserve"> The platform uses Proof of Reserves, cold wallets, multi-party approvals, and two-factor authentication.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 Is BYDFi available globally?</w:t>
        <w:br w:type="textWrapping"/>
      </w:r>
      <w:r w:rsidDel="00000000" w:rsidR="00000000" w:rsidRPr="00000000">
        <w:rPr>
          <w:rtl w:val="0"/>
        </w:rPr>
        <w:t xml:space="preserve"> Yes, it serves users in over 190 countries.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 Does BYDFi provide analytical tools?</w:t>
        <w:br w:type="textWrapping"/>
      </w:r>
      <w:r w:rsidDel="00000000" w:rsidR="00000000" w:rsidRPr="00000000">
        <w:rPr>
          <w:rtl w:val="0"/>
        </w:rPr>
        <w:t xml:space="preserve"> Yes, for both perpetual contracts and spot trading, with profit/loss tracking and risk metrics.</w:t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6. Can I manage multiple wallets?</w:t>
        <w:br w:type="textWrapping"/>
      </w:r>
      <w:r w:rsidDel="00000000" w:rsidR="00000000" w:rsidRPr="00000000">
        <w:rPr>
          <w:rtl w:val="0"/>
        </w:rPr>
        <w:t xml:space="preserve"> Yes, BYDFi allows multi-wallet management for diversified strategies.</w:t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7. Are fees reduced for VIP users?</w:t>
        <w:br w:type="textWrapping"/>
      </w:r>
      <w:r w:rsidDel="00000000" w:rsidR="00000000" w:rsidRPr="00000000">
        <w:rPr>
          <w:rtl w:val="0"/>
        </w:rPr>
        <w:t xml:space="preserve"> Yes, VIP users enjoy tier-based fee reductions.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 Does BYDFi offer mobile trading?</w:t>
        <w:br w:type="textWrapping"/>
      </w:r>
      <w:r w:rsidDel="00000000" w:rsidR="00000000" w:rsidRPr="00000000">
        <w:rPr>
          <w:rtl w:val="0"/>
        </w:rPr>
        <w:t xml:space="preserve"> Yes, the mobile app supports real-time portfolio monitoring and order execution.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9. How reliable is BYDFi’s brand?</w:t>
        <w:br w:type="textWrapping"/>
      </w:r>
      <w:r w:rsidDel="00000000" w:rsidR="00000000" w:rsidRPr="00000000">
        <w:rPr>
          <w:rtl w:val="0"/>
        </w:rPr>
        <w:t xml:space="preserve"> BYDFi sponsors Newcastle United, adding international credibility and trust.</w:t>
      </w:r>
    </w:p>
    <w:p w:rsidR="00000000" w:rsidDel="00000000" w:rsidP="00000000" w:rsidRDefault="00000000" w:rsidRPr="00000000" w14:paraId="0000008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10. Can I switch between desktop and mobile platforms?</w:t>
        <w:br w:type="textWrapping"/>
      </w:r>
      <w:r w:rsidDel="00000000" w:rsidR="00000000" w:rsidRPr="00000000">
        <w:rPr>
          <w:rtl w:val="0"/>
        </w:rPr>
        <w:t xml:space="preserve"> Yes, both platforms share a unified account system for seamless switching.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11. How fast is order execution?</w:t>
        <w:br w:type="textWrapping"/>
      </w:r>
      <w:r w:rsidDel="00000000" w:rsidR="00000000" w:rsidRPr="00000000">
        <w:rPr>
          <w:rtl w:val="0"/>
        </w:rPr>
        <w:t xml:space="preserve"> Trades are executed in real-time with optimized routing and priority settings.</w:t>
      </w:r>
    </w:p>
    <w:p w:rsidR="00000000" w:rsidDel="00000000" w:rsidP="00000000" w:rsidRDefault="00000000" w:rsidRPr="00000000" w14:paraId="0000008F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Conclusion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BYDFi delivers a reliable, transparent, and professional trading platform. Competitive </w:t>
      </w:r>
      <w:r w:rsidDel="00000000" w:rsidR="00000000" w:rsidRPr="00000000">
        <w:rPr>
          <w:b w:val="1"/>
          <w:bCs w:val="1"/>
          <w:rtl w:val="0"/>
        </w:rPr>
        <w:t xml:space="preserve">BYDFi trading fees</w:t>
      </w:r>
      <w:r w:rsidDel="00000000" w:rsidR="00000000" w:rsidRPr="00000000">
        <w:rPr>
          <w:rtl w:val="0"/>
        </w:rPr>
        <w:t xml:space="preserve">, advanced perpetual contracts, and secure infrastructure make it ideal for both institutional and individual investors.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 its Newcastle United partnership, BYDFi demonstrates global credibility and professional branding. The platform’s design, multi-platform support, and clear operational framework ensure efficiency, transparency, and long-term trust.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Investors seeking predictable costs, advanced trading tools, and secure operations will find BYDFi a well-rounded choice for modern financial markets.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newcastleunited.com/en" TargetMode="Externa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bydfi.com/" TargetMode="External"/><Relationship Id="rId8" Type="http://schemas.openxmlformats.org/officeDocument/2006/relationships/hyperlink" Target="https://fintech-rev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