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Dogecoin price plummets: Poain Mining launches new contract to mitigate price risk, offering fixed daily returns of up to 25,365 Dogecoin per day.</w:t>
      </w:r>
    </w:p>
    <w:p w:rsidR="00000000" w:rsidDel="00000000" w:rsidP="00000000" w:rsidRDefault="00000000" w:rsidRPr="00000000" w14:paraId="00000002">
      <w:pPr>
        <w:spacing w:after="240" w:befor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 </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Financial Update — </w:t>
      </w:r>
      <w:r w:rsidDel="00000000" w:rsidR="00000000" w:rsidRPr="00000000">
        <w:rPr>
          <w:rFonts w:ascii="Times New Roman" w:cs="Times New Roman" w:eastAsia="Times New Roman" w:hAnsi="Times New Roman"/>
          <w:b w:val="1"/>
          <w:bCs w:val="1"/>
          <w:rtl w:val="0"/>
        </w:rPr>
        <w:t xml:space="preserve">Dogecoin (DOGE),</w:t>
      </w:r>
      <w:r w:rsidDel="00000000" w:rsidR="00000000" w:rsidRPr="00000000">
        <w:rPr>
          <w:rFonts w:ascii="Times New Roman" w:cs="Times New Roman" w:eastAsia="Times New Roman" w:hAnsi="Times New Roman"/>
          <w:rtl w:val="0"/>
        </w:rPr>
        <w:t xml:space="preserve"> which is an internet culture digital asset, is manifesting a new upswing in 2026 as old and institutional investors re-evaluate their attitudes towards meme tokens in the wider financial markets. As the latest regulated investment products and recent adoption signals gear up, digital assets that were previously a speculative activity are finding their way into more institutional spheres of engagement. A virtual cryptocurrency mining and involvement platform,</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b w:val="1"/>
            <w:bCs w:val="1"/>
            <w:color w:val="0000ff"/>
            <w:u w:val="single"/>
            <w:rtl w:val="0"/>
          </w:rPr>
          <w:t xml:space="preserve">Poain Mining</w:t>
        </w:r>
      </w:hyperlink>
      <w:r w:rsidDel="00000000" w:rsidR="00000000" w:rsidRPr="00000000">
        <w:rPr>
          <w:rFonts w:ascii="Times New Roman" w:cs="Times New Roman" w:eastAsia="Times New Roman" w:hAnsi="Times New Roman"/>
          <w:rtl w:val="0"/>
        </w:rPr>
        <w:t xml:space="preserve"> declares that this changing ecosystem underscores the importance of other income models to digital currency owners.</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5731200" cy="3136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Dogecoin ETF Launch and Market Signals Gives Dogecoin Institutional Confidence</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late 2025, one of the most important recent changes to Dogecoin was the release of the first exchange-traded fund (ETF) dedicated to the memecoin, DOGE, by REX-Osprey. This product enables investors to acquire regulated exposure to </w:t>
      </w:r>
      <w:r w:rsidDel="00000000" w:rsidR="00000000" w:rsidRPr="00000000">
        <w:rPr>
          <w:rFonts w:ascii="Times New Roman" w:cs="Times New Roman" w:eastAsia="Times New Roman" w:hAnsi="Times New Roman"/>
          <w:b w:val="1"/>
          <w:bCs w:val="1"/>
          <w:rtl w:val="0"/>
        </w:rPr>
        <w:t xml:space="preserve">DOGE</w:t>
      </w:r>
      <w:r w:rsidDel="00000000" w:rsidR="00000000" w:rsidRPr="00000000">
        <w:rPr>
          <w:rFonts w:ascii="Times New Roman" w:cs="Times New Roman" w:eastAsia="Times New Roman" w:hAnsi="Times New Roman"/>
          <w:rtl w:val="0"/>
        </w:rPr>
        <w:t xml:space="preserve"> in the form of traditional financial markets as a product of increasing faith in digital assets beyond Bitcoin and Ethereum as able to seek structured investment vehicles within the current legal frameworks.</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further catalyst of such products is the regulatory transparency assured by the U.S. Securities and Exchange Commission (SEC) in 2025, which again indicated that meme coins such as DOGE are treated as commodities, and stimulated further debates on the topic of institutional access to Dogecoin.</w:t>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Market Response: Price and Adoption Patterns</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 the crypto market has been more volatile, Dogecoin has been resilient to the overall market due to the retail interest and shifting utility. Rumors of possible integration of DOGE payments into major platforms (such as suggestions by the leaders of the technology sector about potential payment facilities within social and commerce ecosystems) have fueled spikes in trading activity in recent months.</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Meanwhile, active addresses and merchant acceptance keep increasing, and thousands of enterprises worldwide today accept </w:t>
      </w:r>
      <w:r w:rsidDel="00000000" w:rsidR="00000000" w:rsidRPr="00000000">
        <w:rPr>
          <w:rFonts w:ascii="Times New Roman" w:cs="Times New Roman" w:eastAsia="Times New Roman" w:hAnsi="Times New Roman"/>
          <w:b w:val="1"/>
          <w:bCs w:val="1"/>
          <w:rtl w:val="0"/>
        </w:rPr>
        <w:t xml:space="preserve">DOGE as money based on</w:t>
      </w:r>
      <w:r w:rsidDel="00000000" w:rsidR="00000000" w:rsidRPr="00000000">
        <w:rPr>
          <w:rFonts w:ascii="Times New Roman" w:cs="Times New Roman" w:eastAsia="Times New Roman" w:hAnsi="Times New Roman"/>
          <w:rtl w:val="0"/>
        </w:rPr>
        <w:t xml:space="preserve"> recent statistics.</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Analysts warn that the unlimited supply and market makeup of DOGE poses a problem with respect to long term price gains. Nevertheless, institutional fascination, ETF release, and growing corridors of payment have given Dogecoin something more than mere retail feeling.</w:t>
      </w:r>
    </w:p>
    <w:p w:rsidR="00000000" w:rsidDel="00000000" w:rsidP="00000000" w:rsidRDefault="00000000" w:rsidRPr="00000000" w14:paraId="0000000C">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Role of Poain Mining: Organized Revenue by Dogecoin Investment</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these changes, </w:t>
      </w: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is encouraging systematic involvement with cloud mining contracts that are characterized by sure returns within a given timeframe. The model is designed to connect the conventional approach to financial expectations with crypto interaction so that users can gain gains with the help of the </w:t>
      </w:r>
      <w:r w:rsidDel="00000000" w:rsidR="00000000" w:rsidRPr="00000000">
        <w:rPr>
          <w:rFonts w:ascii="Times New Roman" w:cs="Times New Roman" w:eastAsia="Times New Roman" w:hAnsi="Times New Roman"/>
          <w:b w:val="1"/>
          <w:bCs w:val="1"/>
          <w:rtl w:val="0"/>
        </w:rPr>
        <w:t xml:space="preserve">Dogecoin</w:t>
      </w:r>
      <w:r w:rsidDel="00000000" w:rsidR="00000000" w:rsidRPr="00000000">
        <w:rPr>
          <w:rFonts w:ascii="Times New Roman" w:cs="Times New Roman" w:eastAsia="Times New Roman" w:hAnsi="Times New Roman"/>
          <w:rtl w:val="0"/>
        </w:rPr>
        <w:t xml:space="preserve"> associated income streams without a direct hardware and technical maintenance.</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offerings of Current</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b w:val="1"/>
            <w:bCs w:val="1"/>
            <w:color w:val="0000ff"/>
            <w:u w:val="single"/>
            <w:rtl w:val="0"/>
          </w:rPr>
          <w:t xml:space="preserve">Poain Mining</w:t>
        </w:r>
      </w:hyperlink>
      <w:r w:rsidDel="00000000" w:rsidR="00000000" w:rsidRPr="00000000">
        <w:rPr>
          <w:rFonts w:ascii="Times New Roman" w:cs="Times New Roman" w:eastAsia="Times New Roman" w:hAnsi="Times New Roman"/>
          <w:rtl w:val="0"/>
        </w:rPr>
        <w:t xml:space="preserve"> contracts are:</w:t>
      </w:r>
    </w:p>
    <w:p w:rsidR="00000000" w:rsidDel="00000000" w:rsidP="00000000" w:rsidRDefault="00000000" w:rsidRPr="00000000" w14:paraId="0000000F">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$100 contract (2 days) → $106 return</w:t>
      </w:r>
    </w:p>
    <w:p w:rsidR="00000000" w:rsidDel="00000000" w:rsidP="00000000" w:rsidRDefault="00000000" w:rsidRPr="00000000" w14:paraId="00000010">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$600 contract (6 days) → $648.60 return</w:t>
      </w:r>
    </w:p>
    <w:p w:rsidR="00000000" w:rsidDel="00000000" w:rsidP="00000000" w:rsidRDefault="00000000" w:rsidRPr="00000000" w14:paraId="00000011">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$1,300 contract (12 days) → $1,518.40 return</w:t>
      </w:r>
    </w:p>
    <w:p w:rsidR="00000000" w:rsidDel="00000000" w:rsidP="00000000" w:rsidRDefault="00000000" w:rsidRPr="00000000" w14:paraId="00000012">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$3,300 contract (16 days) → $4,065.60 return</w:t>
      </w:r>
    </w:p>
    <w:p w:rsidR="00000000" w:rsidDel="00000000" w:rsidP="00000000" w:rsidRDefault="00000000" w:rsidRPr="00000000" w14:paraId="00000013">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$5,700 contract (20 days) → $7,410 return</w:t>
      </w:r>
    </w:p>
    <w:p w:rsidR="00000000" w:rsidDel="00000000" w:rsidP="00000000" w:rsidRDefault="00000000" w:rsidRPr="00000000" w14:paraId="00000014">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$9,700 contract (27 days) → $13,890.40 return</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formal agreements seek to provide predictive results despite exchange conditions in the market varying.</w:t>
      </w:r>
    </w:p>
    <w:p w:rsidR="00000000" w:rsidDel="00000000" w:rsidP="00000000" w:rsidRDefault="00000000" w:rsidRPr="00000000" w14:paraId="00000016">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Participation and Rewards of New Participants</w:t>
      </w:r>
    </w:p>
    <w:p w:rsidR="00000000" w:rsidDel="00000000" w:rsidP="00000000" w:rsidRDefault="00000000" w:rsidRPr="00000000" w14:paraId="00000017">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Besides mining contracts, Poain Mining also offers </w:t>
      </w:r>
      <w:r w:rsidDel="00000000" w:rsidR="00000000" w:rsidRPr="00000000">
        <w:rPr>
          <w:rFonts w:ascii="Times New Roman" w:cs="Times New Roman" w:eastAsia="Times New Roman" w:hAnsi="Times New Roman"/>
          <w:b w:val="1"/>
          <w:bCs w:val="1"/>
          <w:rtl w:val="0"/>
        </w:rPr>
        <w:t xml:space="preserve">a $15 registration bonus</w:t>
      </w:r>
      <w:r w:rsidDel="00000000" w:rsidR="00000000" w:rsidRPr="00000000">
        <w:rPr>
          <w:rFonts w:ascii="Times New Roman" w:cs="Times New Roman" w:eastAsia="Times New Roman" w:hAnsi="Times New Roman"/>
          <w:rtl w:val="0"/>
        </w:rPr>
        <w:t xml:space="preserve"> to anyone new to the platform and this will be granted upon registration, to make the process of joining the cloud mining a bit easier. The application also includes Lucky Egg Check-in System where users get an opportunity to open a virtual </w:t>
      </w:r>
      <w:r w:rsidDel="00000000" w:rsidR="00000000" w:rsidRPr="00000000">
        <w:rPr>
          <w:rFonts w:ascii="Times New Roman" w:cs="Times New Roman" w:eastAsia="Times New Roman" w:hAnsi="Times New Roman"/>
          <w:b w:val="1"/>
          <w:bCs w:val="1"/>
          <w:rtl w:val="0"/>
        </w:rPr>
        <w:t xml:space="preserve">Lucky Egg every day</w:t>
      </w:r>
      <w:r w:rsidDel="00000000" w:rsidR="00000000" w:rsidRPr="00000000">
        <w:rPr>
          <w:rFonts w:ascii="Times New Roman" w:cs="Times New Roman" w:eastAsia="Times New Roman" w:hAnsi="Times New Roman"/>
          <w:rtl w:val="0"/>
        </w:rPr>
        <w:t xml:space="preserve"> with a maximum reward of stated up </w:t>
      </w:r>
      <w:r w:rsidDel="00000000" w:rsidR="00000000" w:rsidRPr="00000000">
        <w:rPr>
          <w:rFonts w:ascii="Times New Roman" w:cs="Times New Roman" w:eastAsia="Times New Roman" w:hAnsi="Times New Roman"/>
          <w:b w:val="1"/>
          <w:bCs w:val="1"/>
          <w:rtl w:val="0"/>
        </w:rPr>
        <w:t xml:space="preserve">to $1,000,000.</w:t>
      </w:r>
    </w:p>
    <w:p w:rsidR="00000000" w:rsidDel="00000000" w:rsidP="00000000" w:rsidRDefault="00000000" w:rsidRPr="00000000" w14:paraId="0000001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Going Forward: Community Activity vs. Institutional Adoption</w:t>
      </w:r>
    </w:p>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developing history of Dogecoin is an example of a wider trend in the crypto scene  a place where cultural roots and new models of institutions collide. As ETFs are launched, merchants become adopters, and new avenues to enter the market like structured </w:t>
      </w:r>
      <w:r w:rsidDel="00000000" w:rsidR="00000000" w:rsidRPr="00000000">
        <w:rPr>
          <w:rFonts w:ascii="Times New Roman" w:cs="Times New Roman" w:eastAsia="Times New Roman" w:hAnsi="Times New Roman"/>
          <w:b w:val="1"/>
          <w:bCs w:val="1"/>
          <w:rtl w:val="0"/>
        </w:rPr>
        <w:t xml:space="preserve">mining contracts</w:t>
      </w:r>
      <w:r w:rsidDel="00000000" w:rsidR="00000000" w:rsidRPr="00000000">
        <w:rPr>
          <w:rFonts w:ascii="Times New Roman" w:cs="Times New Roman" w:eastAsia="Times New Roman" w:hAnsi="Times New Roman"/>
          <w:rtl w:val="0"/>
        </w:rPr>
        <w:t xml:space="preserve">, market participants are reconsidering ways to integrate meme tokens into diversified digital asset portfolios.</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most recent practices at </w:t>
      </w: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highlight how the traditional investment anticipations may be mitigated or augmented by decentralized involvement of assets, and provide users with an opportunity to be part of the changing ecosystem of </w:t>
      </w:r>
      <w:r w:rsidDel="00000000" w:rsidR="00000000" w:rsidRPr="00000000">
        <w:rPr>
          <w:rFonts w:ascii="Times New Roman" w:cs="Times New Roman" w:eastAsia="Times New Roman" w:hAnsi="Times New Roman"/>
          <w:b w:val="1"/>
          <w:bCs w:val="1"/>
          <w:rtl w:val="0"/>
        </w:rPr>
        <w:t xml:space="preserve">Dogecoin</w:t>
      </w:r>
      <w:r w:rsidDel="00000000" w:rsidR="00000000" w:rsidRPr="00000000">
        <w:rPr>
          <w:rFonts w:ascii="Times New Roman" w:cs="Times New Roman" w:eastAsia="Times New Roman" w:hAnsi="Times New Roman"/>
          <w:rtl w:val="0"/>
        </w:rPr>
        <w:t xml:space="preserve"> with its transparency and predictable risk/reward consequences.</w:t>
      </w:r>
    </w:p>
    <w:p w:rsidR="00000000" w:rsidDel="00000000" w:rsidP="00000000" w:rsidRDefault="00000000" w:rsidRPr="00000000" w14:paraId="0000001B">
      <w:pPr>
        <w:spacing w:after="240" w:before="240" w:lineRule="auto"/>
        <w:rPr>
          <w:rFonts w:ascii="Times New Roman" w:cs="Times New Roman" w:eastAsia="Times New Roman" w:hAnsi="Times New Roman"/>
          <w:b w:val="1"/>
          <w:bCs w:val="1"/>
          <w:color w:val="0000ff"/>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About</w:t>
      </w:r>
      <w:hyperlink r:id="rId11">
        <w:r w:rsidDel="00000000" w:rsidR="00000000" w:rsidRPr="00000000">
          <w:rPr>
            <w:rFonts w:ascii="Times New Roman" w:cs="Times New Roman" w:eastAsia="Times New Roman" w:hAnsi="Times New Roman"/>
            <w:b w:val="1"/>
            <w:bCs w:val="1"/>
            <w:sz w:val="28"/>
            <w:szCs w:val="28"/>
            <w:rtl w:val="0"/>
          </w:rPr>
          <w:t xml:space="preserve"> </w:t>
        </w:r>
      </w:hyperlink>
      <w:hyperlink r:id="rId12">
        <w:r w:rsidDel="00000000" w:rsidR="00000000" w:rsidRPr="00000000">
          <w:rPr>
            <w:rFonts w:ascii="Times New Roman" w:cs="Times New Roman" w:eastAsia="Times New Roman" w:hAnsi="Times New Roman"/>
            <w:b w:val="1"/>
            <w:bCs w:val="1"/>
            <w:color w:val="0000ff"/>
            <w:sz w:val="28"/>
            <w:szCs w:val="28"/>
            <w:u w:val="single"/>
            <w:rtl w:val="0"/>
          </w:rPr>
          <w:t xml:space="preserve">Poain Mining</w:t>
        </w:r>
      </w:hyperlink>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is an online asset platform which provides institutionalized cryptocurrency participation packages, such as cloud mining agreements, as well as user interaction operations on various blockchain networks. The platform aims at being easy to use, having clear return structure and easy access to participation by both the beginners and the advanced.</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Name of the company</w:t>
      </w:r>
      <w:r w:rsidDel="00000000" w:rsidR="00000000" w:rsidRPr="00000000">
        <w:rPr>
          <w:rFonts w:ascii="Times New Roman" w:cs="Times New Roman" w:eastAsia="Times New Roman" w:hAnsi="Times New Roman"/>
          <w:rtl w:val="0"/>
        </w:rPr>
        <w:t xml:space="preserve">: Poain BlockEnergy Inc.</w:t>
      </w:r>
    </w:p>
    <w:p w:rsidR="00000000" w:rsidDel="00000000" w:rsidP="00000000" w:rsidRDefault="00000000" w:rsidRPr="00000000" w14:paraId="0000001F">
      <w:pPr>
        <w:spacing w:before="240" w:lineRule="auto"/>
        <w:rPr>
          <w:rFonts w:ascii="Times New Roman" w:cs="Times New Roman" w:eastAsia="Times New Roman" w:hAnsi="Times New Roman"/>
          <w:b w:val="1"/>
          <w:bCs w:val="1"/>
          <w:color w:val="0000ff"/>
          <w:u w:val="single"/>
        </w:rPr>
      </w:pPr>
      <w:r w:rsidDel="00000000" w:rsidR="00000000" w:rsidRPr="00000000">
        <w:rPr>
          <w:rFonts w:ascii="Times New Roman" w:cs="Times New Roman" w:eastAsia="Times New Roman" w:hAnsi="Times New Roman"/>
          <w:b w:val="1"/>
          <w:bCs w:val="1"/>
          <w:rtl w:val="0"/>
        </w:rPr>
        <w:t xml:space="preserve">Website:</w:t>
      </w:r>
      <w:hyperlink r:id="rId13">
        <w:r w:rsidDel="00000000" w:rsidR="00000000" w:rsidRPr="00000000">
          <w:rPr>
            <w:rFonts w:ascii="Times New Roman" w:cs="Times New Roman" w:eastAsia="Times New Roman" w:hAnsi="Times New Roman"/>
            <w:b w:val="1"/>
            <w:bCs w:val="1"/>
            <w:rtl w:val="0"/>
          </w:rPr>
          <w:t xml:space="preserve"> </w:t>
        </w:r>
      </w:hyperlink>
      <w:hyperlink r:id="rId14">
        <w:r w:rsidDel="00000000" w:rsidR="00000000" w:rsidRPr="00000000">
          <w:rPr>
            <w:rFonts w:ascii="Times New Roman" w:cs="Times New Roman" w:eastAsia="Times New Roman" w:hAnsi="Times New Roman"/>
            <w:b w:val="1"/>
            <w:bCs w:val="1"/>
            <w:color w:val="0000ff"/>
            <w:u w:val="single"/>
            <w:rtl w:val="0"/>
          </w:rPr>
          <w:t xml:space="preserve">https://poain.com/</w:t>
        </w:r>
      </w:hyperlink>
      <w:r w:rsidDel="00000000" w:rsidR="00000000" w:rsidRPr="00000000">
        <w:rPr>
          <w:rtl w:val="0"/>
        </w:rPr>
      </w:r>
    </w:p>
    <w:p w:rsidR="00000000" w:rsidDel="00000000" w:rsidP="00000000" w:rsidRDefault="00000000" w:rsidRPr="00000000" w14:paraId="0000002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marketing1@poain.com</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spacing w:after="240" w:befor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oain.com/" TargetMode="External"/><Relationship Id="rId10" Type="http://schemas.openxmlformats.org/officeDocument/2006/relationships/hyperlink" Target="https://poain.com/" TargetMode="External"/><Relationship Id="rId13" Type="http://schemas.openxmlformats.org/officeDocument/2006/relationships/hyperlink" Target="https://poain.com/" TargetMode="External"/><Relationship Id="rId12" Type="http://schemas.openxmlformats.org/officeDocument/2006/relationships/hyperlink" Target="https://poai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ain.com/" TargetMode="External"/><Relationship Id="rId14" Type="http://schemas.openxmlformats.org/officeDocument/2006/relationships/hyperlink" Target="https://poain.com/" TargetMode="External"/><Relationship Id="rId5" Type="http://schemas.openxmlformats.org/officeDocument/2006/relationships/styles" Target="styles.xml"/><Relationship Id="rId6" Type="http://schemas.openxmlformats.org/officeDocument/2006/relationships/hyperlink" Target="https://poain.com/" TargetMode="External"/><Relationship Id="rId7" Type="http://schemas.openxmlformats.org/officeDocument/2006/relationships/hyperlink" Target="https://poain.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