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both"/>
        <w:rPr>
          <w:b w:val="1"/>
          <w:bCs w:val="1"/>
        </w:rPr>
      </w:pPr>
      <w:bookmarkStart w:colFirst="0" w:colLast="0" w:name="_pltoekv59ug4" w:id="0"/>
      <w:bookmarkEnd w:id="0"/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Bitcoin Above $66K: This Next Target Is Not What Many Expect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Bitcoin may have reclaimed $66,000, but analysts are still betting on further downside in the coming days.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Bitcoin (BTC) has now rallied 10% from its low of $59,100 earlier in June, showing resilience amid strong selling pressure. On Monday, it pushed past $66,000 for the first time in two weeks, amid positive updates from the US-Iran war.</w:t>
      </w:r>
    </w:p>
    <w:p w:rsidR="00000000" w:rsidDel="00000000" w:rsidP="00000000" w:rsidRDefault="00000000" w:rsidRPr="00000000" w14:paraId="00000004">
      <w:pPr>
        <w:pStyle w:val="Heading2"/>
        <w:spacing w:after="240" w:before="240" w:lineRule="auto"/>
        <w:jc w:val="both"/>
        <w:rPr/>
      </w:pPr>
      <w:bookmarkStart w:colFirst="0" w:colLast="0" w:name="_newsgv6dqq0t" w:id="1"/>
      <w:bookmarkEnd w:id="1"/>
      <w:r w:rsidDel="00000000" w:rsidR="00000000" w:rsidRPr="00000000">
        <w:rPr>
          <w:rtl w:val="0"/>
        </w:rPr>
        <w:t xml:space="preserve">More BTC Corrections?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While the trend has been upward lately, many still believe that the bottom is not in yet. One of those saying this is Ali Martinez, a prominent crypto analyst.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He recently </w:t>
      </w:r>
      <w:hyperlink r:id="rId7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claimed</w:t>
        </w:r>
      </w:hyperlink>
      <w:r w:rsidDel="00000000" w:rsidR="00000000" w:rsidRPr="00000000">
        <w:rPr>
          <w:rtl w:val="0"/>
        </w:rPr>
        <w:t xml:space="preserve"> that the last major Bitcoin bottom formed when its price reached the Cumulative Value Days Destroyed (CVDD) level. This metric compares the short-term spending velocity to the yearly average, signaling when an asset is in deep correction or overheated.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BTC bottomed in 2022 when it touched that line at $15,000 and started a new bull cycle. According to the chart shared by Martinez, the CVDD is currently at $48,000, suggesting that while Bitcoin continues to hold above the $60,000 support, a deeper correction could still occur.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7429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240" w:before="240" w:lineRule="auto"/>
        <w:jc w:val="both"/>
        <w:rPr/>
      </w:pPr>
      <w:bookmarkStart w:colFirst="0" w:colLast="0" w:name="_d782pzr61734" w:id="2"/>
      <w:bookmarkEnd w:id="2"/>
      <w:r w:rsidDel="00000000" w:rsidR="00000000" w:rsidRPr="00000000">
        <w:rPr>
          <w:rtl w:val="0"/>
        </w:rPr>
        <w:t xml:space="preserve">How to Navigate the Crypto Bear Market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With price directions still uncertain, the best thing to do is to DCA into assets that will produce good benefits when the market becomes bullish a</w:t>
      </w:r>
      <w:r w:rsidDel="00000000" w:rsidR="00000000" w:rsidRPr="00000000">
        <w:rPr>
          <w:rtl w:val="0"/>
        </w:rPr>
        <w:t xml:space="preserve">gain</w:t>
      </w:r>
      <w:r w:rsidDel="00000000" w:rsidR="00000000" w:rsidRPr="00000000">
        <w:rPr>
          <w:rtl w:val="0"/>
        </w:rPr>
        <w:t xml:space="preserve">. One of those that most analysts are recommending is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, an early-stage project tipped to make millionaires.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It sells at </w:t>
      </w:r>
      <w:r w:rsidDel="00000000" w:rsidR="00000000" w:rsidRPr="00000000">
        <w:rPr>
          <w:rtl w:val="0"/>
        </w:rPr>
        <w:t xml:space="preserve">0.00012787 USDT</w:t>
      </w:r>
      <w:r w:rsidDel="00000000" w:rsidR="00000000" w:rsidRPr="00000000">
        <w:rPr>
          <w:rtl w:val="0"/>
        </w:rPr>
        <w:t xml:space="preserve"> and has the potential to reach 0.1 USDT or even 1 USDT according to projections. Its massive adoption and very </w:t>
      </w:r>
      <w:r w:rsidDel="00000000" w:rsidR="00000000" w:rsidRPr="00000000">
        <w:rPr>
          <w:rtl w:val="0"/>
        </w:rPr>
        <w:t xml:space="preserve">sec</w:t>
      </w:r>
      <w:r w:rsidDel="00000000" w:rsidR="00000000" w:rsidRPr="00000000">
        <w:rPr>
          <w:rtl w:val="0"/>
        </w:rPr>
        <w:t xml:space="preserve">ure smart contract also speak for themselves.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0"/>
        </w:rPr>
        <w:t xml:space="preserve">earn</w:t>
      </w:r>
      <w:r w:rsidDel="00000000" w:rsidR="00000000" w:rsidRPr="00000000">
        <w:rPr>
          <w:rtl w:val="0"/>
        </w:rPr>
        <w:t xml:space="preserve"> more at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minotaurus.io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inotaurus.io/?utm_source=bitcoinsistemi.com&amp;utm_campaign=zhkkcb7kbuuwr0wtsphi&amp;PropertyValue=3xl6s0mz" TargetMode="External"/><Relationship Id="rId9" Type="http://schemas.openxmlformats.org/officeDocument/2006/relationships/hyperlink" Target="https://minotaurus.io/?utm_source=bitcoinsistemi.com&amp;utm_campaign=zhkkcb7kbuuwr0wtsphi&amp;PropertyValue=3xl6s0mz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x.com/alicharts/status/2066688206360461374?s=2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