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spacing w:after="200" w:lineRule="auto"/>
        <w:rPr>
          <w:rFonts w:ascii="Roboto" w:cs="Roboto" w:eastAsia="Roboto" w:hAnsi="Roboto"/>
        </w:rPr>
      </w:pPr>
      <w:bookmarkStart w:colFirst="0" w:colLast="0" w:name="_nq02y7z6x97x" w:id="0"/>
      <w:bookmarkEnd w:id="0"/>
      <w:r w:rsidDel="00000000" w:rsidR="00000000" w:rsidRPr="00000000">
        <w:rPr>
          <w:rFonts w:ascii="Roboto" w:cs="Roboto" w:eastAsia="Roboto" w:hAnsi="Roboto"/>
          <w:rtl w:val="0"/>
        </w:rPr>
        <w:t xml:space="preserve">Bitcoin Price Prediction: What BTC Strength Could Mean For Presales Like MemeToro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Meta Description</w:t>
      </w:r>
      <w:r w:rsidDel="00000000" w:rsidR="00000000" w:rsidRPr="00000000">
        <w:rPr>
          <w:rFonts w:ascii="Roboto" w:cs="Roboto" w:eastAsia="Roboto" w:hAnsi="Roboto"/>
          <w:rtl w:val="0"/>
        </w:rPr>
        <w:t xml:space="preserve">: Bitcoin consolidation influences capital rotation while MemeToro presale gains attention as AI-driven behavioral finance ecosystem expands.</w:t>
      </w:r>
    </w:p>
    <w:p w:rsidR="00000000" w:rsidDel="00000000" w:rsidP="00000000" w:rsidRDefault="00000000" w:rsidRPr="00000000" w14:paraId="00000003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/>
        <w:drawing>
          <wp:inline distB="114300" distT="114300" distL="114300" distR="114300">
            <wp:extent cx="5943600" cy="33782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Bitcoin continues to trade within a consolidation range, creating a controlled environment for capital rotation across crypto markets. Despite short-term volatility, BTC remains structurally stable between $63,727 and $67,220.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stability has significant implications for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AI presale ecosystems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such as MemeToro, which often gain attention during periods of market equilibrium and selective capital deployment.</w:t>
      </w:r>
    </w:p>
    <w:p w:rsidR="00000000" w:rsidDel="00000000" w:rsidP="00000000" w:rsidRDefault="00000000" w:rsidRPr="00000000" w14:paraId="00000006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8qps8w4t0zwu" w:id="1"/>
      <w:bookmarkEnd w:id="1"/>
      <w:r w:rsidDel="00000000" w:rsidR="00000000" w:rsidRPr="00000000">
        <w:rPr>
          <w:rFonts w:ascii="Roboto" w:cs="Roboto" w:eastAsia="Roboto" w:hAnsi="Roboto"/>
          <w:rtl w:val="0"/>
        </w:rPr>
        <w:t xml:space="preserve">Bitcoin Consolidation and Market Stability Structure</w:t>
      </w:r>
    </w:p>
    <w:p w:rsidR="00000000" w:rsidDel="00000000" w:rsidP="00000000" w:rsidRDefault="00000000" w:rsidRPr="00000000" w14:paraId="00000007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Bitcoin’s current range-bound behavior reflects profit-taking ahead of macroeconomic decisions. This consolidation phase limits directional momentum but maintains overall market structure.</w:t>
      </w:r>
    </w:p>
    <w:p w:rsidR="00000000" w:rsidDel="00000000" w:rsidP="00000000" w:rsidRDefault="00000000" w:rsidRPr="00000000" w14:paraId="00000008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Such environments often serve as accumulation phases where capital begins rotating into early-stage opportunities and narrative-driven ecosystems.</w:t>
      </w:r>
    </w:p>
    <w:p w:rsidR="00000000" w:rsidDel="00000000" w:rsidP="00000000" w:rsidRDefault="00000000" w:rsidRPr="00000000" w14:paraId="00000009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ubrk2p4psqg3" w:id="2"/>
      <w:bookmarkEnd w:id="2"/>
      <w:r w:rsidDel="00000000" w:rsidR="00000000" w:rsidRPr="00000000">
        <w:rPr>
          <w:rFonts w:ascii="Roboto" w:cs="Roboto" w:eastAsia="Roboto" w:hAnsi="Roboto"/>
          <w:rtl w:val="0"/>
        </w:rPr>
        <w:t xml:space="preserve">Altcoin and Institutional Flow Influence on Market Behavior</w:t>
      </w:r>
    </w:p>
    <w:p w:rsidR="00000000" w:rsidDel="00000000" w:rsidP="00000000" w:rsidRDefault="00000000" w:rsidRPr="00000000" w14:paraId="0000000A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Institutional capital continues rotating into Solana and XRP through ETF inflows, even as Bitcoin experiences minor outflows. This indicates growing diversification across crypto ecosystems.</w:t>
      </w:r>
    </w:p>
    <w:p w:rsidR="00000000" w:rsidDel="00000000" w:rsidP="00000000" w:rsidRDefault="00000000" w:rsidRPr="00000000" w14:paraId="0000000B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This rotation supports broader market stability and increases liquidity availability for alternative assets during consolidation phases.</w:t>
      </w:r>
    </w:p>
    <w:p w:rsidR="00000000" w:rsidDel="00000000" w:rsidP="00000000" w:rsidRDefault="00000000" w:rsidRPr="00000000" w14:paraId="0000000C">
      <w:pPr>
        <w:spacing w:after="200" w:lineRule="auto"/>
        <w:rPr>
          <w:rFonts w:ascii="Roboto" w:cs="Roboto" w:eastAsia="Roboto" w:hAnsi="Roboto"/>
        </w:rPr>
      </w:pPr>
      <w:hyperlink r:id="rId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MemeToro $MT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is gaining attention as a behavioral finance ecosystem that benefits from Bitcoin stability phases. When BTC remains range-bound, capital often flows into narrative-driven assets with higher volatility potential.</w:t>
      </w:r>
    </w:p>
    <w:p w:rsidR="00000000" w:rsidDel="00000000" w:rsidP="00000000" w:rsidRDefault="00000000" w:rsidRPr="00000000" w14:paraId="0000000D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Its AI-driven structure allows it to capture social sentiment and convert it into ecosystem-level financial activity, aligning with early-stage market behavior patterns.</w:t>
      </w:r>
    </w:p>
    <w:p w:rsidR="00000000" w:rsidDel="00000000" w:rsidP="00000000" w:rsidRDefault="00000000" w:rsidRPr="00000000" w14:paraId="0000000E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5040qn86a6zl" w:id="3"/>
      <w:bookmarkEnd w:id="3"/>
      <w:r w:rsidDel="00000000" w:rsidR="00000000" w:rsidRPr="00000000">
        <w:rPr>
          <w:rFonts w:ascii="Roboto" w:cs="Roboto" w:eastAsia="Roboto" w:hAnsi="Roboto"/>
          <w:rtl w:val="0"/>
        </w:rPr>
        <w:t xml:space="preserve">The All-in-One MemeToro Ecosystem: Buy $MT for Total Access</w:t>
      </w:r>
    </w:p>
    <w:p w:rsidR="00000000" w:rsidDel="00000000" w:rsidP="00000000" w:rsidRDefault="00000000" w:rsidRPr="00000000" w14:paraId="0000000F">
      <w:pPr>
        <w:spacing w:after="200" w:lineRule="auto"/>
        <w:rPr>
          <w:rFonts w:ascii="Roboto" w:cs="Roboto" w:eastAsia="Roboto" w:hAnsi="Roboto"/>
        </w:rPr>
      </w:pPr>
      <w:hyperlink r:id="rId9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Investing in $MT tokens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unlocks a unified Web3 playground right from your dashboard. Buying into the presale gives you immediate access to a streamlined hub that replaces fragmented decentralized apps with one simple interface.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Autonomous AI Deployer: Instantly launches fresh community tokens based on live market spikes.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Built-in Asset Swap: Lets you trade and exchange newly minted memecoins right inside your dashboard.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Decentralized Prediction Markets: Turn your knowledge of active internet trends into real digital assets.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Borderless Web3 Casino: Spend your token winnings on global micro-transaction games with ease.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High-Yield Core Vaults: Lock up your assets to accumulate passive ecosystem rewards automatically.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Real-Time Data Feeds: Tracks major industry updates to give you an analytical edge before trading.</w:t>
      </w:r>
    </w:p>
    <w:p w:rsidR="00000000" w:rsidDel="00000000" w:rsidP="00000000" w:rsidRDefault="00000000" w:rsidRPr="00000000" w14:paraId="00000016">
      <w:pPr>
        <w:spacing w:after="200" w:lineRule="auto"/>
        <w:jc w:val="center"/>
        <w:rPr>
          <w:rFonts w:ascii="Roboto" w:cs="Roboto" w:eastAsia="Roboto" w:hAnsi="Roboto"/>
        </w:rPr>
      </w:pPr>
      <w:hyperlink r:id="rId10">
        <w:r w:rsidDel="00000000" w:rsidR="00000000" w:rsidRPr="00000000">
          <w:rPr>
            <w:rFonts w:ascii="Roboto" w:cs="Roboto" w:eastAsia="Roboto" w:hAnsi="Roboto"/>
            <w:color w:val="1155cc"/>
            <w:u w:val="single"/>
          </w:rPr>
          <w:drawing>
            <wp:inline distB="114300" distT="114300" distL="114300" distR="114300">
              <wp:extent cx="5943600" cy="1003300"/>
              <wp:effectExtent b="0" l="0" r="0" t="0"/>
              <wp:docPr id="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1"/>
                      <a:srcRect b="15476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003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nekq1p6orq4j" w:id="4"/>
      <w:bookmarkEnd w:id="4"/>
      <w:r w:rsidDel="00000000" w:rsidR="00000000" w:rsidRPr="00000000">
        <w:rPr>
          <w:rFonts w:ascii="Roboto" w:cs="Roboto" w:eastAsia="Roboto" w:hAnsi="Roboto"/>
          <w:rtl w:val="0"/>
        </w:rPr>
        <w:t xml:space="preserve">Understanding MemeToro Tokenomics and Supply Distribution</w:t>
      </w:r>
    </w:p>
    <w:p w:rsidR="00000000" w:rsidDel="00000000" w:rsidP="00000000" w:rsidRDefault="00000000" w:rsidRPr="00000000" w14:paraId="00000018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distribution architecture puts heavy community ownership first to support decentralized network growth. This model stops team dumps from destabilizing initial market performance.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Fixed Cap: Exactly 1.2 billion $MT tokens minted.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Public Allocation: 71% reserved for presale tiers.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Zero Vesting: Presale buyers claim tokens instantly.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Staking Yields: Vault contracts pay 35% APR emissions.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200" w:lineRule="auto"/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Core Gas: Powers prediction pools and creator tools.</w:t>
      </w:r>
    </w:p>
    <w:p w:rsidR="00000000" w:rsidDel="00000000" w:rsidP="00000000" w:rsidRDefault="00000000" w:rsidRPr="00000000" w14:paraId="0000001E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9srgwf5zvn3f" w:id="5"/>
      <w:bookmarkEnd w:id="5"/>
      <w:r w:rsidDel="00000000" w:rsidR="00000000" w:rsidRPr="00000000">
        <w:rPr>
          <w:rFonts w:ascii="Roboto" w:cs="Roboto" w:eastAsia="Roboto" w:hAnsi="Roboto"/>
          <w:rtl w:val="0"/>
        </w:rPr>
        <w:t xml:space="preserve">Conclusion</w:t>
      </w:r>
    </w:p>
    <w:p w:rsidR="00000000" w:rsidDel="00000000" w:rsidP="00000000" w:rsidRDefault="00000000" w:rsidRPr="00000000" w14:paraId="0000001F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Bitcoin’s consolidation phase is shaping liquidity distribution across the crypto market, supporting both institutional rotation and early-stage ecosystem growth.</w:t>
      </w:r>
    </w:p>
    <w:p w:rsidR="00000000" w:rsidDel="00000000" w:rsidP="00000000" w:rsidRDefault="00000000" w:rsidRPr="00000000" w14:paraId="00000020">
      <w:pPr>
        <w:spacing w:after="200" w:lineRule="auto"/>
        <w:rPr>
          <w:rFonts w:ascii="Roboto" w:cs="Roboto" w:eastAsia="Roboto" w:hAnsi="Roboto"/>
        </w:rPr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MemeToro $MT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is gaining attention within this environment as a behavioral finance system positioned to benefit from narrative-driven capital flows during BTC stability cycles.</w:t>
      </w:r>
    </w:p>
    <w:p w:rsidR="00000000" w:rsidDel="00000000" w:rsidP="00000000" w:rsidRDefault="00000000" w:rsidRPr="00000000" w14:paraId="00000021">
      <w:pPr>
        <w:pStyle w:val="Heading2"/>
        <w:spacing w:after="200" w:lineRule="auto"/>
        <w:rPr>
          <w:rFonts w:ascii="Roboto" w:cs="Roboto" w:eastAsia="Roboto" w:hAnsi="Roboto"/>
        </w:rPr>
      </w:pPr>
      <w:bookmarkStart w:colFirst="0" w:colLast="0" w:name="_991yrnovxoky" w:id="6"/>
      <w:bookmarkEnd w:id="6"/>
      <w:r w:rsidDel="00000000" w:rsidR="00000000" w:rsidRPr="00000000">
        <w:rPr>
          <w:rFonts w:ascii="Roboto" w:cs="Roboto" w:eastAsia="Roboto" w:hAnsi="Roboto"/>
          <w:rtl w:val="0"/>
        </w:rPr>
        <w:t xml:space="preserve">Frequently Asked Questions</w:t>
      </w:r>
    </w:p>
    <w:p w:rsidR="00000000" w:rsidDel="00000000" w:rsidP="00000000" w:rsidRDefault="00000000" w:rsidRPr="00000000" w14:paraId="00000022">
      <w:pPr>
        <w:pStyle w:val="Heading3"/>
        <w:spacing w:after="200" w:lineRule="auto"/>
        <w:rPr>
          <w:rFonts w:ascii="Roboto" w:cs="Roboto" w:eastAsia="Roboto" w:hAnsi="Roboto"/>
        </w:rPr>
      </w:pPr>
      <w:bookmarkStart w:colFirst="0" w:colLast="0" w:name="_3c3na4dioa8h" w:id="7"/>
      <w:bookmarkEnd w:id="7"/>
      <w:r w:rsidDel="00000000" w:rsidR="00000000" w:rsidRPr="00000000">
        <w:rPr>
          <w:rFonts w:ascii="Roboto" w:cs="Roboto" w:eastAsia="Roboto" w:hAnsi="Roboto"/>
          <w:rtl w:val="0"/>
        </w:rPr>
        <w:t xml:space="preserve">Are the smart contracts fully audited?</w:t>
      </w:r>
    </w:p>
    <w:p w:rsidR="00000000" w:rsidDel="00000000" w:rsidP="00000000" w:rsidRDefault="00000000" w:rsidRPr="00000000" w14:paraId="00000023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Yes, all core ecosystem contracts have been thoroughly evaluated and verified by security experts at Coinsult.</w:t>
      </w:r>
    </w:p>
    <w:p w:rsidR="00000000" w:rsidDel="00000000" w:rsidP="00000000" w:rsidRDefault="00000000" w:rsidRPr="00000000" w14:paraId="00000024">
      <w:pPr>
        <w:pStyle w:val="Heading3"/>
        <w:spacing w:after="200" w:lineRule="auto"/>
        <w:rPr>
          <w:rFonts w:ascii="Roboto" w:cs="Roboto" w:eastAsia="Roboto" w:hAnsi="Roboto"/>
        </w:rPr>
      </w:pPr>
      <w:bookmarkStart w:colFirst="0" w:colLast="0" w:name="_tx6ev1rx17oi" w:id="8"/>
      <w:bookmarkEnd w:id="8"/>
      <w:r w:rsidDel="00000000" w:rsidR="00000000" w:rsidRPr="00000000">
        <w:rPr>
          <w:rFonts w:ascii="Roboto" w:cs="Roboto" w:eastAsia="Roboto" w:hAnsi="Roboto"/>
          <w:rtl w:val="0"/>
        </w:rPr>
        <w:t xml:space="preserve">Which blockchain hosts the MemeToro platform?</w:t>
      </w:r>
    </w:p>
    <w:p w:rsidR="00000000" w:rsidDel="00000000" w:rsidP="00000000" w:rsidRDefault="00000000" w:rsidRPr="00000000" w14:paraId="00000025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app runs on the BNB Chain, with plans to move to a custom, high-speed blockchain network later.</w:t>
      </w:r>
    </w:p>
    <w:p w:rsidR="00000000" w:rsidDel="00000000" w:rsidP="00000000" w:rsidRDefault="00000000" w:rsidRPr="00000000" w14:paraId="00000026">
      <w:pPr>
        <w:pStyle w:val="Heading3"/>
        <w:spacing w:after="200" w:lineRule="auto"/>
        <w:rPr>
          <w:rFonts w:ascii="Roboto" w:cs="Roboto" w:eastAsia="Roboto" w:hAnsi="Roboto"/>
        </w:rPr>
      </w:pPr>
      <w:bookmarkStart w:colFirst="0" w:colLast="0" w:name="_j4socjwr5voc" w:id="9"/>
      <w:bookmarkEnd w:id="9"/>
      <w:r w:rsidDel="00000000" w:rsidR="00000000" w:rsidRPr="00000000">
        <w:rPr>
          <w:rFonts w:ascii="Roboto" w:cs="Roboto" w:eastAsia="Roboto" w:hAnsi="Roboto"/>
          <w:rtl w:val="0"/>
        </w:rPr>
        <w:t xml:space="preserve">What is the long-term project timeline?</w:t>
      </w:r>
    </w:p>
    <w:p w:rsidR="00000000" w:rsidDel="00000000" w:rsidP="00000000" w:rsidRDefault="00000000" w:rsidRPr="00000000" w14:paraId="00000027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project's comprehensive technical roadmap spans 24 months and schedules the rollout of 15 unique AI utility products.</w:t>
      </w:r>
    </w:p>
    <w:p w:rsidR="00000000" w:rsidDel="00000000" w:rsidP="00000000" w:rsidRDefault="00000000" w:rsidRPr="00000000" w14:paraId="00000028">
      <w:pPr>
        <w:spacing w:after="200" w:lineRule="auto"/>
        <w:rPr>
          <w:rFonts w:ascii="Roboto" w:cs="Roboto" w:eastAsia="Roboto" w:hAnsi="Roboto"/>
          <w:b w:val="1"/>
          <w:bCs w:val="1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rtl w:val="0"/>
        </w:rPr>
        <w:t xml:space="preserve">More Information on MemeToro ($MT) Presale Here:</w:t>
      </w:r>
    </w:p>
    <w:p w:rsidR="00000000" w:rsidDel="00000000" w:rsidP="00000000" w:rsidRDefault="00000000" w:rsidRPr="00000000" w14:paraId="00000029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Website: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https://memetoro.com/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X: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https://x.com/memetoro_mt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p w:rsidR="00000000" w:rsidDel="00000000" w:rsidP="00000000" w:rsidRDefault="00000000" w:rsidRPr="00000000" w14:paraId="0000002B">
      <w:pPr>
        <w:spacing w:after="20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Telegram: </w:t>
      </w:r>
      <w:hyperlink r:id="rId15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https://t.me/memetoro_mt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memetoro.com/" TargetMode="External"/><Relationship Id="rId13" Type="http://schemas.openxmlformats.org/officeDocument/2006/relationships/hyperlink" Target="https://memetoro.com/" TargetMode="External"/><Relationship Id="rId12" Type="http://schemas.openxmlformats.org/officeDocument/2006/relationships/hyperlink" Target="http://memetoro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emetoro.com/how-to-buy" TargetMode="External"/><Relationship Id="rId15" Type="http://schemas.openxmlformats.org/officeDocument/2006/relationships/hyperlink" Target="https://t.me/memetoro_mt" TargetMode="External"/><Relationship Id="rId14" Type="http://schemas.openxmlformats.org/officeDocument/2006/relationships/hyperlink" Target="https://x.com/memetoro_mt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memetoro.com/" TargetMode="External"/><Relationship Id="rId8" Type="http://schemas.openxmlformats.org/officeDocument/2006/relationships/hyperlink" Target="http://memetor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