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after="200" w:lineRule="auto"/>
        <w:rPr/>
      </w:pPr>
      <w:bookmarkStart w:colFirst="0" w:colLast="0" w:name="_gaz35huxf4m9" w:id="0"/>
      <w:bookmarkEnd w:id="0"/>
      <w:r w:rsidDel="00000000" w:rsidR="00000000" w:rsidRPr="00000000">
        <w:rPr>
          <w:rtl w:val="0"/>
        </w:rPr>
        <w:t xml:space="preserve">Bitcoin Price Prediction: Could BTC Trigger the Next Altcoin Season?</w:t>
      </w:r>
    </w:p>
    <w:p w:rsidR="00000000" w:rsidDel="00000000" w:rsidP="00000000" w:rsidRDefault="00000000" w:rsidRPr="00000000" w14:paraId="00000002">
      <w:pPr>
        <w:spacing w:after="200" w:lineRule="auto"/>
        <w:rPr/>
      </w:pPr>
      <w:r w:rsidDel="00000000" w:rsidR="00000000" w:rsidRPr="00000000">
        <w:rPr>
          <w:b w:val="1"/>
          <w:bCs w:val="1"/>
          <w:rtl w:val="0"/>
        </w:rPr>
        <w:t xml:space="preserve">Meta Description:</w:t>
      </w:r>
      <w:r w:rsidDel="00000000" w:rsidR="00000000" w:rsidRPr="00000000">
        <w:rPr>
          <w:rtl w:val="0"/>
        </w:rPr>
        <w:t xml:space="preserve"> Bitcoin consolidation near $65K may set conditions for altcoin season as ETH dominance rises and market rotation signals strengthen.</w:t>
      </w:r>
    </w:p>
    <w:p w:rsidR="00000000" w:rsidDel="00000000" w:rsidP="00000000" w:rsidRDefault="00000000" w:rsidRPr="00000000" w14:paraId="00000003">
      <w:pPr>
        <w:spacing w:after="200" w:lineRule="auto"/>
        <w:rPr/>
      </w:pPr>
      <w:r w:rsidDel="00000000" w:rsidR="00000000" w:rsidRPr="00000000">
        <w:rPr/>
        <w:drawing>
          <wp:inline distB="114300" distT="114300" distL="114300" distR="114300">
            <wp:extent cx="5943600" cy="33782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3782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200" w:lineRule="auto"/>
        <w:rPr/>
      </w:pPr>
      <w:r w:rsidDel="00000000" w:rsidR="00000000" w:rsidRPr="00000000">
        <w:rPr>
          <w:rtl w:val="0"/>
        </w:rPr>
        <w:t xml:space="preserve">Bitcoin continues to trade within a tight consolidation structure as macroeconomic uncertainty builds ahead of key monetary policy decisions. Despite short-term volatility, the asset remains structurally stable within its established range.</w:t>
      </w:r>
    </w:p>
    <w:p w:rsidR="00000000" w:rsidDel="00000000" w:rsidP="00000000" w:rsidRDefault="00000000" w:rsidRPr="00000000" w14:paraId="00000005">
      <w:pPr>
        <w:spacing w:after="200" w:lineRule="auto"/>
        <w:rPr/>
      </w:pPr>
      <w:r w:rsidDel="00000000" w:rsidR="00000000" w:rsidRPr="00000000">
        <w:rPr>
          <w:rtl w:val="0"/>
        </w:rPr>
        <w:t xml:space="preserve">This phase is important because historically, Bitcoin consolidation often precedes broader altcoin season cycles, where capital begins rotating into </w:t>
      </w:r>
      <w:hyperlink r:id="rId7">
        <w:r w:rsidDel="00000000" w:rsidR="00000000" w:rsidRPr="00000000">
          <w:rPr>
            <w:color w:val="1155cc"/>
            <w:u w:val="single"/>
            <w:rtl w:val="0"/>
          </w:rPr>
          <w:t xml:space="preserve">higher-beta presale crypto assets</w:t>
        </w:r>
      </w:hyperlink>
      <w:r w:rsidDel="00000000" w:rsidR="00000000" w:rsidRPr="00000000">
        <w:rPr>
          <w:rtl w:val="0"/>
        </w:rPr>
        <w:t xml:space="preserve">.</w:t>
      </w:r>
    </w:p>
    <w:p w:rsidR="00000000" w:rsidDel="00000000" w:rsidP="00000000" w:rsidRDefault="00000000" w:rsidRPr="00000000" w14:paraId="00000006">
      <w:pPr>
        <w:pStyle w:val="Heading2"/>
        <w:spacing w:after="200" w:lineRule="auto"/>
        <w:rPr/>
      </w:pPr>
      <w:bookmarkStart w:colFirst="0" w:colLast="0" w:name="_9rrr0ao594ai" w:id="1"/>
      <w:bookmarkEnd w:id="1"/>
      <w:r w:rsidDel="00000000" w:rsidR="00000000" w:rsidRPr="00000000">
        <w:rPr>
          <w:rtl w:val="0"/>
        </w:rPr>
        <w:t xml:space="preserve">Bitcoin Range Structure and Macro Market Behavior</w:t>
      </w:r>
    </w:p>
    <w:p w:rsidR="00000000" w:rsidDel="00000000" w:rsidP="00000000" w:rsidRDefault="00000000" w:rsidRPr="00000000" w14:paraId="00000007">
      <w:pPr>
        <w:spacing w:after="200" w:lineRule="auto"/>
        <w:rPr/>
      </w:pPr>
      <w:r w:rsidDel="00000000" w:rsidR="00000000" w:rsidRPr="00000000">
        <w:rPr>
          <w:rtl w:val="0"/>
        </w:rPr>
        <w:t xml:space="preserve">Bitcoin is currently trading inside a horizontal channel between $63,727 and $67,220 after dipping to $65,300. This movement reflects short-term profit-taking rather than structural weakness.</w:t>
      </w:r>
    </w:p>
    <w:p w:rsidR="00000000" w:rsidDel="00000000" w:rsidP="00000000" w:rsidRDefault="00000000" w:rsidRPr="00000000" w14:paraId="00000008">
      <w:pPr>
        <w:spacing w:after="200" w:lineRule="auto"/>
        <w:rPr/>
      </w:pPr>
      <w:r w:rsidDel="00000000" w:rsidR="00000000" w:rsidRPr="00000000">
        <w:rPr>
          <w:rtl w:val="0"/>
        </w:rPr>
        <w:t xml:space="preserve">Market participants are largely waiting for macro clarity before committing to directional positions. This creates a compressed volatility environment that often leads to rapid expansion once liquidity returns.</w:t>
      </w:r>
    </w:p>
    <w:p w:rsidR="00000000" w:rsidDel="00000000" w:rsidP="00000000" w:rsidRDefault="00000000" w:rsidRPr="00000000" w14:paraId="00000009">
      <w:pPr>
        <w:pStyle w:val="Heading2"/>
        <w:spacing w:after="200" w:lineRule="auto"/>
        <w:rPr/>
      </w:pPr>
      <w:bookmarkStart w:colFirst="0" w:colLast="0" w:name="_51gyok5r0xlf" w:id="2"/>
      <w:bookmarkEnd w:id="2"/>
      <w:r w:rsidDel="00000000" w:rsidR="00000000" w:rsidRPr="00000000">
        <w:rPr>
          <w:rtl w:val="0"/>
        </w:rPr>
        <w:t xml:space="preserve">Altcoin Season Indicators and ETH Dominance Shift</w:t>
      </w:r>
    </w:p>
    <w:p w:rsidR="00000000" w:rsidDel="00000000" w:rsidP="00000000" w:rsidRDefault="00000000" w:rsidRPr="00000000" w14:paraId="0000000A">
      <w:pPr>
        <w:spacing w:after="200" w:lineRule="auto"/>
        <w:rPr/>
      </w:pPr>
      <w:r w:rsidDel="00000000" w:rsidR="00000000" w:rsidRPr="00000000">
        <w:rPr>
          <w:rtl w:val="0"/>
        </w:rPr>
        <w:t xml:space="preserve">One of the most important signals currently emerging is the increase in Ethereum dominance, which has risen by 7.3 percent to 12 percent. This shift suggests early rotation away from Bitcoin toward altcoins.</w:t>
      </w:r>
    </w:p>
    <w:p w:rsidR="00000000" w:rsidDel="00000000" w:rsidP="00000000" w:rsidRDefault="00000000" w:rsidRPr="00000000" w14:paraId="0000000B">
      <w:pPr>
        <w:spacing w:after="200" w:lineRule="auto"/>
        <w:rPr/>
      </w:pPr>
      <w:r w:rsidDel="00000000" w:rsidR="00000000" w:rsidRPr="00000000">
        <w:rPr>
          <w:rtl w:val="0"/>
        </w:rPr>
        <w:t xml:space="preserve">However, the Altcoin Season Index remains at 35, indicating that full altseason conditions have not yet formed. Historically, this stage represents pre-rotation accumulation rather than explosive expansion.</w:t>
      </w:r>
    </w:p>
    <w:p w:rsidR="00000000" w:rsidDel="00000000" w:rsidP="00000000" w:rsidRDefault="00000000" w:rsidRPr="00000000" w14:paraId="0000000C">
      <w:pPr>
        <w:pStyle w:val="Heading2"/>
        <w:spacing w:after="200" w:lineRule="auto"/>
        <w:rPr>
          <w:rFonts w:ascii="Roboto" w:cs="Roboto" w:eastAsia="Roboto" w:hAnsi="Roboto"/>
        </w:rPr>
      </w:pPr>
      <w:bookmarkStart w:colFirst="0" w:colLast="0" w:name="_y6qahh8bwl9q" w:id="3"/>
      <w:bookmarkEnd w:id="3"/>
      <w:r w:rsidDel="00000000" w:rsidR="00000000" w:rsidRPr="00000000">
        <w:rPr>
          <w:rFonts w:ascii="Roboto" w:cs="Roboto" w:eastAsia="Roboto" w:hAnsi="Roboto"/>
          <w:rtl w:val="0"/>
        </w:rPr>
        <w:t xml:space="preserve">Inside the MemeToro Ecosystem: Tools, Tokens, and Utility</w:t>
      </w:r>
    </w:p>
    <w:p w:rsidR="00000000" w:rsidDel="00000000" w:rsidP="00000000" w:rsidRDefault="00000000" w:rsidRPr="00000000" w14:paraId="0000000D">
      <w:pPr>
        <w:spacing w:after="200" w:lineRule="auto"/>
        <w:rPr>
          <w:rFonts w:ascii="Roboto" w:cs="Roboto" w:eastAsia="Roboto" w:hAnsi="Roboto"/>
        </w:rPr>
      </w:pPr>
      <w:hyperlink r:id="rId8">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runs as a social finance (SocialFi) ecosystem on the BNB Chain. It puts structural utility into the meme economy while keeping a visual identity that pays clear homage to legendary tokens like PEPE.</w:t>
      </w:r>
    </w:p>
    <w:p w:rsidR="00000000" w:rsidDel="00000000" w:rsidP="00000000" w:rsidRDefault="00000000" w:rsidRPr="00000000" w14:paraId="0000000E">
      <w:pPr>
        <w:spacing w:after="200" w:lineRule="auto"/>
        <w:rPr>
          <w:rFonts w:ascii="Roboto" w:cs="Roboto" w:eastAsia="Roboto" w:hAnsi="Roboto"/>
        </w:rPr>
      </w:pPr>
      <w:r w:rsidDel="00000000" w:rsidR="00000000" w:rsidRPr="00000000">
        <w:rPr>
          <w:rFonts w:ascii="Roboto" w:cs="Roboto" w:eastAsia="Roboto" w:hAnsi="Roboto"/>
          <w:rtl w:val="0"/>
        </w:rPr>
        <w:t xml:space="preserve">At the core of the platform is the MemeToro AI Agent. It's the world's first autonomous memecoin creator, built to scan real-time social trends, cultural moments, and global news. </w:t>
      </w:r>
    </w:p>
    <w:p w:rsidR="00000000" w:rsidDel="00000000" w:rsidP="00000000" w:rsidRDefault="00000000" w:rsidRPr="00000000" w14:paraId="0000000F">
      <w:pPr>
        <w:spacing w:after="200" w:lineRule="auto"/>
        <w:rPr>
          <w:rFonts w:ascii="Roboto" w:cs="Roboto" w:eastAsia="Roboto" w:hAnsi="Roboto"/>
        </w:rPr>
      </w:pPr>
      <w:r w:rsidDel="00000000" w:rsidR="00000000" w:rsidRPr="00000000">
        <w:rPr>
          <w:rFonts w:ascii="Roboto" w:cs="Roboto" w:eastAsia="Roboto" w:hAnsi="Roboto"/>
          <w:rtl w:val="0"/>
        </w:rPr>
        <w:t xml:space="preserve">The system identifies viral potential before it hits its peak. Non-technical users can create and trade memecoins through this pipeline without any technical setup. Every bonded memecoin automatically lists on PancakeSwap, backed safely by BNB liquidity.</w:t>
      </w:r>
    </w:p>
    <w:p w:rsidR="00000000" w:rsidDel="00000000" w:rsidP="00000000" w:rsidRDefault="00000000" w:rsidRPr="00000000" w14:paraId="00000010">
      <w:pPr>
        <w:spacing w:after="200" w:lineRule="auto"/>
        <w:jc w:val="center"/>
        <w:rPr>
          <w:rFonts w:ascii="Roboto" w:cs="Roboto" w:eastAsia="Roboto" w:hAnsi="Roboto"/>
        </w:rPr>
      </w:pPr>
      <w:hyperlink r:id="rId9">
        <w:r w:rsidDel="00000000" w:rsidR="00000000" w:rsidRPr="00000000">
          <w:rPr>
            <w:rFonts w:ascii="Roboto" w:cs="Roboto" w:eastAsia="Roboto" w:hAnsi="Roboto"/>
            <w:color w:val="1155cc"/>
            <w:u w:val="single"/>
          </w:rPr>
          <w:drawing>
            <wp:inline distB="114300" distT="114300" distL="114300" distR="114300">
              <wp:extent cx="5943600" cy="1079500"/>
              <wp:effectExtent b="0" l="0" r="0" t="0"/>
              <wp:docPr id="1" name="image1.png"/>
              <a:graphic>
                <a:graphicData uri="http://schemas.openxmlformats.org/drawingml/2006/picture">
                  <pic:pic>
                    <pic:nvPicPr>
                      <pic:cNvPr id="0" name="image1.png"/>
                      <pic:cNvPicPr preferRelativeResize="0"/>
                    </pic:nvPicPr>
                    <pic:blipFill>
                      <a:blip r:embed="rId10"/>
                      <a:srcRect b="9562" l="0" r="0" t="0"/>
                      <a:stretch>
                        <a:fillRect/>
                      </a:stretch>
                    </pic:blipFill>
                    <pic:spPr>
                      <a:xfrm>
                        <a:off x="0" y="0"/>
                        <a:ext cx="5943600" cy="10795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spacing w:after="200" w:lineRule="auto"/>
        <w:rPr>
          <w:rFonts w:ascii="Roboto" w:cs="Roboto" w:eastAsia="Roboto" w:hAnsi="Roboto"/>
        </w:rPr>
      </w:pPr>
      <w:r w:rsidDel="00000000" w:rsidR="00000000" w:rsidRPr="00000000">
        <w:rPr>
          <w:rFonts w:ascii="Roboto" w:cs="Roboto" w:eastAsia="Roboto" w:hAnsi="Roboto"/>
          <w:rtl w:val="0"/>
        </w:rPr>
        <w:t xml:space="preserve">The native $MT token fuels everything across the ecosystem. Users tap into a centralized news portal, stake tokens to secure liquidity, and use $MT alongside BNB rewards inside peer-to-peer prediction markets. </w:t>
      </w:r>
    </w:p>
    <w:p w:rsidR="00000000" w:rsidDel="00000000" w:rsidP="00000000" w:rsidRDefault="00000000" w:rsidRPr="00000000" w14:paraId="00000012">
      <w:pPr>
        <w:spacing w:after="200" w:lineRule="auto"/>
        <w:rPr/>
      </w:pPr>
      <w:r w:rsidDel="00000000" w:rsidR="00000000" w:rsidRPr="00000000">
        <w:rPr>
          <w:rFonts w:ascii="Roboto" w:cs="Roboto" w:eastAsia="Roboto" w:hAnsi="Roboto"/>
          <w:rtl w:val="0"/>
        </w:rPr>
        <w:t xml:space="preserve">The result is active earning in $MT and $BNB while finding safe, verified memecoin launches protected by Web3 technology, all leading toward MemeToro's future migration onto its own dedicated blockchain.</w:t>
      </w:r>
      <w:r w:rsidDel="00000000" w:rsidR="00000000" w:rsidRPr="00000000">
        <w:rPr>
          <w:rtl w:val="0"/>
        </w:rPr>
      </w:r>
    </w:p>
    <w:p w:rsidR="00000000" w:rsidDel="00000000" w:rsidP="00000000" w:rsidRDefault="00000000" w:rsidRPr="00000000" w14:paraId="00000013">
      <w:pPr>
        <w:pStyle w:val="Heading2"/>
        <w:spacing w:after="200" w:lineRule="auto"/>
        <w:rPr/>
      </w:pPr>
      <w:bookmarkStart w:colFirst="0" w:colLast="0" w:name="_e634kv1rc01l" w:id="4"/>
      <w:bookmarkEnd w:id="4"/>
      <w:r w:rsidDel="00000000" w:rsidR="00000000" w:rsidRPr="00000000">
        <w:rPr>
          <w:rtl w:val="0"/>
        </w:rPr>
        <w:t xml:space="preserve">MemeToro Utility and Early Narrative Rotation Behavior</w:t>
      </w:r>
    </w:p>
    <w:p w:rsidR="00000000" w:rsidDel="00000000" w:rsidP="00000000" w:rsidRDefault="00000000" w:rsidRPr="00000000" w14:paraId="00000014">
      <w:pPr>
        <w:spacing w:after="200" w:lineRule="auto"/>
        <w:rPr/>
      </w:pPr>
      <w:r w:rsidDel="00000000" w:rsidR="00000000" w:rsidRPr="00000000">
        <w:rPr>
          <w:rtl w:val="0"/>
        </w:rPr>
        <w:t xml:space="preserve">In early rotation phases, capital often flows into narrative-driven ecosystems before broad altcoin expansion begins. </w:t>
      </w:r>
      <w:hyperlink r:id="rId11">
        <w:r w:rsidDel="00000000" w:rsidR="00000000" w:rsidRPr="00000000">
          <w:rPr>
            <w:rFonts w:ascii="Roboto" w:cs="Roboto" w:eastAsia="Roboto" w:hAnsi="Roboto"/>
            <w:color w:val="1155cc"/>
            <w:u w:val="single"/>
            <w:rtl w:val="0"/>
          </w:rPr>
          <w:t xml:space="preserve">MemeToro $MT</w:t>
        </w:r>
      </w:hyperlink>
      <w:r w:rsidDel="00000000" w:rsidR="00000000" w:rsidRPr="00000000">
        <w:rPr>
          <w:rtl w:val="0"/>
        </w:rPr>
        <w:t xml:space="preserve"> </w:t>
      </w:r>
      <w:r w:rsidDel="00000000" w:rsidR="00000000" w:rsidRPr="00000000">
        <w:rPr>
          <w:rtl w:val="0"/>
        </w:rPr>
        <w:t xml:space="preserve">is gaining visibility in this category due to its positioning within AI-driven behavioral finance systems.</w:t>
      </w:r>
    </w:p>
    <w:p w:rsidR="00000000" w:rsidDel="00000000" w:rsidP="00000000" w:rsidRDefault="00000000" w:rsidRPr="00000000" w14:paraId="00000015">
      <w:pPr>
        <w:spacing w:after="200" w:lineRule="auto"/>
        <w:rPr/>
      </w:pPr>
      <w:r w:rsidDel="00000000" w:rsidR="00000000" w:rsidRPr="00000000">
        <w:rPr>
          <w:rtl w:val="0"/>
        </w:rPr>
        <w:t xml:space="preserve">Its relevance increases when markets are uncertain because narrative-based ecosystems tend to attract attention before liquidity fully expands into altcoins.</w:t>
      </w:r>
    </w:p>
    <w:p w:rsidR="00000000" w:rsidDel="00000000" w:rsidP="00000000" w:rsidRDefault="00000000" w:rsidRPr="00000000" w14:paraId="00000016">
      <w:pPr>
        <w:spacing w:after="200" w:lineRule="auto"/>
        <w:rPr>
          <w:rFonts w:ascii="Roboto" w:cs="Roboto" w:eastAsia="Roboto" w:hAnsi="Roboto"/>
        </w:rPr>
      </w:pPr>
      <w:hyperlink r:id="rId12">
        <w:r w:rsidDel="00000000" w:rsidR="00000000" w:rsidRPr="00000000">
          <w:rPr>
            <w:rFonts w:ascii="Roboto" w:cs="Roboto" w:eastAsia="Roboto" w:hAnsi="Roboto"/>
            <w:color w:val="1155cc"/>
            <w:u w:val="single"/>
            <w:rtl w:val="0"/>
          </w:rPr>
          <w:t xml:space="preserve">MemeToro $MT</w:t>
        </w:r>
      </w:hyperlink>
      <w:r w:rsidDel="00000000" w:rsidR="00000000" w:rsidRPr="00000000">
        <w:rPr>
          <w:rFonts w:ascii="Roboto" w:cs="Roboto" w:eastAsia="Roboto" w:hAnsi="Roboto"/>
          <w:rtl w:val="0"/>
        </w:rPr>
        <w:t xml:space="preserve"> </w:t>
      </w:r>
      <w:r w:rsidDel="00000000" w:rsidR="00000000" w:rsidRPr="00000000">
        <w:rPr>
          <w:rFonts w:ascii="Roboto" w:cs="Roboto" w:eastAsia="Roboto" w:hAnsi="Roboto"/>
          <w:rtl w:val="0"/>
        </w:rPr>
        <w:t xml:space="preserve">redefines utility by combining four major crypto sectors into a single web3 hub. This ecosystem lets you mint coins instantly with an AI agent, win $MT rewards in a secure blockchain casino, and monetize your market insights in active prediction markets.</w:t>
      </w:r>
    </w:p>
    <w:p w:rsidR="00000000" w:rsidDel="00000000" w:rsidP="00000000" w:rsidRDefault="00000000" w:rsidRPr="00000000" w14:paraId="00000017">
      <w:pPr>
        <w:spacing w:after="200" w:lineRule="auto"/>
        <w:rPr>
          <w:rFonts w:ascii="Roboto" w:cs="Roboto" w:eastAsia="Roboto" w:hAnsi="Roboto"/>
        </w:rPr>
      </w:pPr>
      <w:r w:rsidDel="00000000" w:rsidR="00000000" w:rsidRPr="00000000">
        <w:rPr>
          <w:rFonts w:ascii="Roboto" w:cs="Roboto" w:eastAsia="Roboto" w:hAnsi="Roboto"/>
          <w:rtl w:val="0"/>
        </w:rPr>
        <w:t xml:space="preserve">You also get a real-time crypto news portal so you can track viral trends before they take off. It is a packed playground designed to maximize profits, social engagement, and decentralized entertainment through one community token.</w:t>
      </w:r>
    </w:p>
    <w:p w:rsidR="00000000" w:rsidDel="00000000" w:rsidP="00000000" w:rsidRDefault="00000000" w:rsidRPr="00000000" w14:paraId="00000018">
      <w:pPr>
        <w:spacing w:after="200" w:lineRule="auto"/>
        <w:rPr/>
      </w:pPr>
      <w:r w:rsidDel="00000000" w:rsidR="00000000" w:rsidRPr="00000000">
        <w:rPr>
          <w:rFonts w:ascii="Roboto" w:cs="Roboto" w:eastAsia="Roboto" w:hAnsi="Roboto"/>
          <w:rtl w:val="0"/>
        </w:rPr>
        <w:t xml:space="preserve">Join the presale today and start earning your share of ecosystem rewards.</w:t>
      </w:r>
      <w:r w:rsidDel="00000000" w:rsidR="00000000" w:rsidRPr="00000000">
        <w:rPr>
          <w:rtl w:val="0"/>
        </w:rPr>
      </w:r>
    </w:p>
    <w:p w:rsidR="00000000" w:rsidDel="00000000" w:rsidP="00000000" w:rsidRDefault="00000000" w:rsidRPr="00000000" w14:paraId="00000019">
      <w:pPr>
        <w:pStyle w:val="Heading2"/>
        <w:spacing w:after="200" w:lineRule="auto"/>
        <w:rPr/>
      </w:pPr>
      <w:bookmarkStart w:colFirst="0" w:colLast="0" w:name="_kpu0i5djd3uo" w:id="5"/>
      <w:bookmarkEnd w:id="5"/>
      <w:r w:rsidDel="00000000" w:rsidR="00000000" w:rsidRPr="00000000">
        <w:rPr>
          <w:rtl w:val="0"/>
        </w:rPr>
        <w:t xml:space="preserve">Conclusion</w:t>
      </w:r>
    </w:p>
    <w:p w:rsidR="00000000" w:rsidDel="00000000" w:rsidP="00000000" w:rsidRDefault="00000000" w:rsidRPr="00000000" w14:paraId="0000001A">
      <w:pPr>
        <w:spacing w:after="200" w:lineRule="auto"/>
        <w:rPr/>
      </w:pPr>
      <w:r w:rsidDel="00000000" w:rsidR="00000000" w:rsidRPr="00000000">
        <w:rPr>
          <w:rtl w:val="0"/>
        </w:rPr>
        <w:t xml:space="preserve">Bitcoin remains the central driver of crypto market structure, but current consolidation suggests conditions may be forming for the next altcoin cycle. Rising ETH dominance and institutional rotation support this view, although full altseason signals are not yet confirmed.</w:t>
      </w:r>
    </w:p>
    <w:p w:rsidR="00000000" w:rsidDel="00000000" w:rsidP="00000000" w:rsidRDefault="00000000" w:rsidRPr="00000000" w14:paraId="0000001B">
      <w:pPr>
        <w:pStyle w:val="Heading1"/>
        <w:spacing w:after="200" w:lineRule="auto"/>
        <w:rPr>
          <w:sz w:val="22"/>
          <w:szCs w:val="22"/>
        </w:rPr>
      </w:pPr>
      <w:bookmarkStart w:colFirst="0" w:colLast="0" w:name="_aks46uxm068b" w:id="6"/>
      <w:bookmarkEnd w:id="6"/>
      <w:r w:rsidDel="00000000" w:rsidR="00000000" w:rsidRPr="00000000">
        <w:rPr>
          <w:sz w:val="22"/>
          <w:szCs w:val="22"/>
          <w:rtl w:val="0"/>
        </w:rPr>
        <w:t xml:space="preserve">MemeToro appears within early narrative rotation trends as part of broader behavioral finance interest ahead of potential market expansion.</w:t>
      </w:r>
    </w:p>
    <w:p w:rsidR="00000000" w:rsidDel="00000000" w:rsidP="00000000" w:rsidRDefault="00000000" w:rsidRPr="00000000" w14:paraId="0000001C">
      <w:pPr>
        <w:spacing w:after="200" w:lineRule="auto"/>
        <w:rPr>
          <w:rFonts w:ascii="Roboto" w:cs="Roboto" w:eastAsia="Roboto" w:hAnsi="Roboto"/>
          <w:b w:val="1"/>
          <w:bCs w:val="1"/>
        </w:rPr>
      </w:pPr>
      <w:r w:rsidDel="00000000" w:rsidR="00000000" w:rsidRPr="00000000">
        <w:rPr>
          <w:rFonts w:ascii="Roboto" w:cs="Roboto" w:eastAsia="Roboto" w:hAnsi="Roboto"/>
          <w:b w:val="1"/>
          <w:bCs w:val="1"/>
          <w:rtl w:val="0"/>
        </w:rPr>
        <w:t xml:space="preserve">More Information on MemeToro ($MT) Presale Here:</w:t>
      </w:r>
    </w:p>
    <w:p w:rsidR="00000000" w:rsidDel="00000000" w:rsidP="00000000" w:rsidRDefault="00000000" w:rsidRPr="00000000" w14:paraId="0000001D">
      <w:pPr>
        <w:spacing w:after="200" w:lineRule="auto"/>
        <w:rPr>
          <w:rFonts w:ascii="Roboto" w:cs="Roboto" w:eastAsia="Roboto" w:hAnsi="Roboto"/>
        </w:rPr>
      </w:pPr>
      <w:r w:rsidDel="00000000" w:rsidR="00000000" w:rsidRPr="00000000">
        <w:rPr>
          <w:rFonts w:ascii="Roboto" w:cs="Roboto" w:eastAsia="Roboto" w:hAnsi="Roboto"/>
          <w:rtl w:val="0"/>
        </w:rPr>
        <w:t xml:space="preserve">Website: </w:t>
      </w:r>
      <w:hyperlink r:id="rId13">
        <w:r w:rsidDel="00000000" w:rsidR="00000000" w:rsidRPr="00000000">
          <w:rPr>
            <w:rFonts w:ascii="Roboto" w:cs="Roboto" w:eastAsia="Roboto" w:hAnsi="Roboto"/>
            <w:color w:val="1155cc"/>
            <w:u w:val="single"/>
            <w:rtl w:val="0"/>
          </w:rPr>
          <w:t xml:space="preserve">https://memetoro.com/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E">
      <w:pPr>
        <w:spacing w:after="200" w:lineRule="auto"/>
        <w:rPr>
          <w:rFonts w:ascii="Roboto" w:cs="Roboto" w:eastAsia="Roboto" w:hAnsi="Roboto"/>
        </w:rPr>
      </w:pPr>
      <w:r w:rsidDel="00000000" w:rsidR="00000000" w:rsidRPr="00000000">
        <w:rPr>
          <w:rFonts w:ascii="Roboto" w:cs="Roboto" w:eastAsia="Roboto" w:hAnsi="Roboto"/>
          <w:rtl w:val="0"/>
        </w:rPr>
        <w:t xml:space="preserve">X: </w:t>
      </w:r>
      <w:hyperlink r:id="rId14">
        <w:r w:rsidDel="00000000" w:rsidR="00000000" w:rsidRPr="00000000">
          <w:rPr>
            <w:rFonts w:ascii="Roboto" w:cs="Roboto" w:eastAsia="Roboto" w:hAnsi="Roboto"/>
            <w:color w:val="1155cc"/>
            <w:u w:val="single"/>
            <w:rtl w:val="0"/>
          </w:rPr>
          <w:t xml:space="preserve">https://x.com/memetoro_mt</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1F">
      <w:pPr>
        <w:spacing w:after="200" w:lineRule="auto"/>
        <w:rPr/>
      </w:pPr>
      <w:r w:rsidDel="00000000" w:rsidR="00000000" w:rsidRPr="00000000">
        <w:rPr>
          <w:rFonts w:ascii="Roboto" w:cs="Roboto" w:eastAsia="Roboto" w:hAnsi="Roboto"/>
          <w:rtl w:val="0"/>
        </w:rPr>
        <w:t xml:space="preserve">Telegram: </w:t>
      </w:r>
      <w:hyperlink r:id="rId15">
        <w:r w:rsidDel="00000000" w:rsidR="00000000" w:rsidRPr="00000000">
          <w:rPr>
            <w:rFonts w:ascii="Roboto" w:cs="Roboto" w:eastAsia="Roboto" w:hAnsi="Roboto"/>
            <w:color w:val="1155cc"/>
            <w:u w:val="single"/>
            <w:rtl w:val="0"/>
          </w:rPr>
          <w:t xml:space="preserve">https://t.me/memetoro_mt</w:t>
        </w:r>
      </w:hyperlink>
      <w:r w:rsidDel="00000000" w:rsidR="00000000" w:rsidRPr="00000000">
        <w:rPr>
          <w:rFonts w:ascii="Roboto" w:cs="Roboto" w:eastAsia="Roboto" w:hAnsi="Roboto"/>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memetoro.com" TargetMode="External"/><Relationship Id="rId10" Type="http://schemas.openxmlformats.org/officeDocument/2006/relationships/image" Target="media/image1.png"/><Relationship Id="rId13" Type="http://schemas.openxmlformats.org/officeDocument/2006/relationships/hyperlink" Target="https://memetoro.com/" TargetMode="External"/><Relationship Id="rId12" Type="http://schemas.openxmlformats.org/officeDocument/2006/relationships/hyperlink" Target="http://memetor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metoro.com/" TargetMode="External"/><Relationship Id="rId15" Type="http://schemas.openxmlformats.org/officeDocument/2006/relationships/hyperlink" Target="https://t.me/memetoro_mt" TargetMode="External"/><Relationship Id="rId14" Type="http://schemas.openxmlformats.org/officeDocument/2006/relationships/hyperlink" Target="https://x.com/memetoro_mt"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memetoro.com" TargetMode="External"/><Relationship Id="rId8" Type="http://schemas.openxmlformats.org/officeDocument/2006/relationships/hyperlink" Target="http://memetor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