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spacing w:after="200" w:lineRule="auto"/>
        <w:rPr>
          <w:rFonts w:ascii="Roboto" w:cs="Roboto" w:eastAsia="Roboto" w:hAnsi="Roboto"/>
        </w:rPr>
      </w:pPr>
      <w:bookmarkStart w:colFirst="0" w:colLast="0" w:name="_l9t6ic6vsm8l" w:id="0"/>
      <w:bookmarkEnd w:id="0"/>
      <w:r w:rsidDel="00000000" w:rsidR="00000000" w:rsidRPr="00000000">
        <w:rPr>
          <w:rFonts w:ascii="Roboto" w:cs="Roboto" w:eastAsia="Roboto" w:hAnsi="Roboto"/>
          <w:rtl w:val="0"/>
        </w:rPr>
        <w:t xml:space="preserve">Bitcoin Price Prediction: Can BTC Reach $150,000?</w:t>
      </w:r>
    </w:p>
    <w:p w:rsidR="00000000" w:rsidDel="00000000" w:rsidP="00000000" w:rsidRDefault="00000000" w:rsidRPr="00000000" w14:paraId="00000002">
      <w:pPr>
        <w:spacing w:after="200" w:lineRule="auto"/>
        <w:rPr>
          <w:rFonts w:ascii="Roboto" w:cs="Roboto" w:eastAsia="Roboto" w:hAnsi="Roboto"/>
        </w:rPr>
      </w:pPr>
      <w:r w:rsidDel="00000000" w:rsidR="00000000" w:rsidRPr="00000000">
        <w:rPr>
          <w:rFonts w:ascii="Roboto" w:cs="Roboto" w:eastAsia="Roboto" w:hAnsi="Roboto"/>
          <w:b w:val="1"/>
          <w:bCs w:val="1"/>
          <w:rtl w:val="0"/>
        </w:rPr>
        <w:t xml:space="preserve">Meta Description:</w:t>
      </w:r>
      <w:r w:rsidDel="00000000" w:rsidR="00000000" w:rsidRPr="00000000">
        <w:rPr>
          <w:rFonts w:ascii="Roboto" w:cs="Roboto" w:eastAsia="Roboto" w:hAnsi="Roboto"/>
          <w:rtl w:val="0"/>
        </w:rPr>
        <w:t xml:space="preserve"> Bitcoin remains in consolidation while investors monitor MemeToro and other growth narratives as analysts debate a potential move toward $150,000.</w:t>
      </w:r>
    </w:p>
    <w:p w:rsidR="00000000" w:rsidDel="00000000" w:rsidP="00000000" w:rsidRDefault="00000000" w:rsidRPr="00000000" w14:paraId="00000003">
      <w:pPr>
        <w:spacing w:after="200" w:lineRule="auto"/>
        <w:rPr>
          <w:rFonts w:ascii="Roboto" w:cs="Roboto" w:eastAsia="Roboto" w:hAnsi="Roboto"/>
        </w:rPr>
      </w:pPr>
      <w:r w:rsidDel="00000000" w:rsidR="00000000" w:rsidRPr="00000000">
        <w:rPr/>
        <w:drawing>
          <wp:inline distB="114300" distT="114300" distL="114300" distR="114300">
            <wp:extent cx="5943600" cy="3987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00" w:lineRule="auto"/>
        <w:rPr>
          <w:rFonts w:ascii="Roboto" w:cs="Roboto" w:eastAsia="Roboto" w:hAnsi="Roboto"/>
        </w:rPr>
      </w:pPr>
      <w:r w:rsidDel="00000000" w:rsidR="00000000" w:rsidRPr="00000000">
        <w:rPr>
          <w:rFonts w:ascii="Roboto" w:cs="Roboto" w:eastAsia="Roboto" w:hAnsi="Roboto"/>
          <w:rtl w:val="0"/>
        </w:rPr>
        <w:t xml:space="preserve">Bitcoin continues to dominate discussions across the digital asset market as investors evaluate whether the world's largest cryptocurrency can eventually reach the $150,000 milestone. Despite months of volatility and macroeconomic uncertainty, institutional adoption continues expanding while long-term forecasts remain surprisingly optimistic.</w:t>
      </w:r>
    </w:p>
    <w:p w:rsidR="00000000" w:rsidDel="00000000" w:rsidP="00000000" w:rsidRDefault="00000000" w:rsidRPr="00000000" w14:paraId="00000005">
      <w:pPr>
        <w:spacing w:after="200" w:lineRule="auto"/>
        <w:rPr>
          <w:rFonts w:ascii="Roboto" w:cs="Roboto" w:eastAsia="Roboto" w:hAnsi="Roboto"/>
        </w:rPr>
      </w:pPr>
      <w:r w:rsidDel="00000000" w:rsidR="00000000" w:rsidRPr="00000000">
        <w:rPr>
          <w:rFonts w:ascii="Roboto" w:cs="Roboto" w:eastAsia="Roboto" w:hAnsi="Roboto"/>
          <w:rtl w:val="0"/>
        </w:rPr>
        <w:t xml:space="preserve">As of June 18, 2026, Bitcoin is trading near $64,850 after entering another period of technical consolidation. The asset remains trapped within a defined range, but many analysts argue that these periods often precede larger directional moves. </w:t>
      </w:r>
    </w:p>
    <w:p w:rsidR="00000000" w:rsidDel="00000000" w:rsidP="00000000" w:rsidRDefault="00000000" w:rsidRPr="00000000" w14:paraId="00000006">
      <w:pPr>
        <w:spacing w:after="200" w:lineRule="auto"/>
        <w:rPr>
          <w:rFonts w:ascii="Roboto" w:cs="Roboto" w:eastAsia="Roboto" w:hAnsi="Roboto"/>
        </w:rPr>
      </w:pPr>
      <w:r w:rsidDel="00000000" w:rsidR="00000000" w:rsidRPr="00000000">
        <w:rPr>
          <w:rFonts w:ascii="Roboto" w:cs="Roboto" w:eastAsia="Roboto" w:hAnsi="Roboto"/>
          <w:rtl w:val="0"/>
        </w:rPr>
        <w:t xml:space="preserve">While Bitcoin remains the primary focus for investors, attention is also spreading toward emerging ecosystems such as </w:t>
      </w:r>
      <w:hyperlink r:id="rId7">
        <w:r w:rsidDel="00000000" w:rsidR="00000000" w:rsidRPr="00000000">
          <w:rPr>
            <w:rFonts w:ascii="Roboto" w:cs="Roboto" w:eastAsia="Roboto" w:hAnsi="Roboto"/>
            <w:color w:val="1155cc"/>
            <w:u w:val="single"/>
            <w:rtl w:val="0"/>
          </w:rPr>
          <w:t xml:space="preserve">MemeToro $MT</w:t>
        </w:r>
      </w:hyperlink>
      <w:r w:rsidDel="00000000" w:rsidR="00000000" w:rsidRPr="00000000">
        <w:rPr>
          <w:rFonts w:ascii="Roboto" w:cs="Roboto" w:eastAsia="Roboto" w:hAnsi="Roboto"/>
          <w:rtl w:val="0"/>
        </w:rPr>
        <w:t xml:space="preserve"> that could benefit if broader market liquidity begins accelerating again.</w:t>
      </w:r>
    </w:p>
    <w:p w:rsidR="00000000" w:rsidDel="00000000" w:rsidP="00000000" w:rsidRDefault="00000000" w:rsidRPr="00000000" w14:paraId="00000007">
      <w:pPr>
        <w:spacing w:after="200" w:lineRule="auto"/>
        <w:rPr>
          <w:rFonts w:ascii="Roboto" w:cs="Roboto" w:eastAsia="Roboto" w:hAnsi="Roboto"/>
        </w:rPr>
      </w:pPr>
      <w:r w:rsidDel="00000000" w:rsidR="00000000" w:rsidRPr="00000000">
        <w:rPr>
          <w:rFonts w:ascii="Roboto" w:cs="Roboto" w:eastAsia="Roboto" w:hAnsi="Roboto"/>
          <w:rtl w:val="0"/>
        </w:rPr>
        <w:t xml:space="preserve">The central question facing the market is whether Bitcoin can overcome its current resistance levels and build enough momentum to support a move toward six-figure territory.</w:t>
      </w:r>
    </w:p>
    <w:p w:rsidR="00000000" w:rsidDel="00000000" w:rsidP="00000000" w:rsidRDefault="00000000" w:rsidRPr="00000000" w14:paraId="00000008">
      <w:pPr>
        <w:spacing w:after="200" w:lineRule="auto"/>
        <w:rPr>
          <w:rFonts w:ascii="Roboto" w:cs="Roboto" w:eastAsia="Roboto" w:hAnsi="Roboto"/>
        </w:rPr>
      </w:pPr>
      <w:hyperlink r:id="rId8">
        <w:r w:rsidDel="00000000" w:rsidR="00000000" w:rsidRPr="00000000">
          <w:rPr>
            <w:rFonts w:ascii="Roboto" w:cs="Roboto" w:eastAsia="Roboto" w:hAnsi="Roboto"/>
            <w:color w:val="1155cc"/>
            <w:u w:val="single"/>
          </w:rPr>
          <w:drawing>
            <wp:inline distB="114300" distT="114300" distL="114300" distR="114300">
              <wp:extent cx="5943600" cy="119380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1193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9">
      <w:pPr>
        <w:pStyle w:val="Heading2"/>
        <w:spacing w:after="200" w:lineRule="auto"/>
        <w:rPr>
          <w:rFonts w:ascii="Roboto" w:cs="Roboto" w:eastAsia="Roboto" w:hAnsi="Roboto"/>
        </w:rPr>
      </w:pPr>
      <w:bookmarkStart w:colFirst="0" w:colLast="0" w:name="_teuakdzcrjec" w:id="1"/>
      <w:bookmarkEnd w:id="1"/>
      <w:r w:rsidDel="00000000" w:rsidR="00000000" w:rsidRPr="00000000">
        <w:rPr>
          <w:rFonts w:ascii="Roboto" w:cs="Roboto" w:eastAsia="Roboto" w:hAnsi="Roboto"/>
          <w:rtl w:val="0"/>
        </w:rPr>
        <w:t xml:space="preserve">Bitcoin Continues Building a Support Foundation</w:t>
      </w:r>
    </w:p>
    <w:p w:rsidR="00000000" w:rsidDel="00000000" w:rsidP="00000000" w:rsidRDefault="00000000" w:rsidRPr="00000000" w14:paraId="0000000A">
      <w:pPr>
        <w:spacing w:after="200" w:lineRule="auto"/>
        <w:rPr>
          <w:rFonts w:ascii="Roboto" w:cs="Roboto" w:eastAsia="Roboto" w:hAnsi="Roboto"/>
        </w:rPr>
      </w:pPr>
      <w:r w:rsidDel="00000000" w:rsidR="00000000" w:rsidRPr="00000000">
        <w:rPr>
          <w:rFonts w:ascii="Roboto" w:cs="Roboto" w:eastAsia="Roboto" w:hAnsi="Roboto"/>
          <w:rtl w:val="0"/>
        </w:rPr>
        <w:t xml:space="preserve">Recent technical analysis suggests Bitcoin remains in a constructive but cautious phase. According to market researchers, the asset is trading inside a horizontal distribution channel between $63,727 and $67,220 while actively defending key support levels.</w:t>
      </w:r>
    </w:p>
    <w:p w:rsidR="00000000" w:rsidDel="00000000" w:rsidP="00000000" w:rsidRDefault="00000000" w:rsidRPr="00000000" w14:paraId="0000000B">
      <w:pPr>
        <w:spacing w:after="200" w:lineRule="auto"/>
        <w:rPr>
          <w:rFonts w:ascii="Roboto" w:cs="Roboto" w:eastAsia="Roboto" w:hAnsi="Roboto"/>
        </w:rPr>
      </w:pPr>
      <w:r w:rsidDel="00000000" w:rsidR="00000000" w:rsidRPr="00000000">
        <w:rPr>
          <w:rFonts w:ascii="Roboto" w:cs="Roboto" w:eastAsia="Roboto" w:hAnsi="Roboto"/>
          <w:rtl w:val="0"/>
        </w:rPr>
        <w:t xml:space="preserve">This type of structure is often viewed as a period of accumulation rather than outright weakness. Buyers continue stepping in near support zones, helping prevent deeper declines despite broader uncertainty across financial markets.</w:t>
      </w:r>
    </w:p>
    <w:p w:rsidR="00000000" w:rsidDel="00000000" w:rsidP="00000000" w:rsidRDefault="00000000" w:rsidRPr="00000000" w14:paraId="0000000C">
      <w:pPr>
        <w:spacing w:after="200" w:lineRule="auto"/>
        <w:rPr>
          <w:rFonts w:ascii="Roboto" w:cs="Roboto" w:eastAsia="Roboto" w:hAnsi="Roboto"/>
        </w:rPr>
      </w:pPr>
      <w:r w:rsidDel="00000000" w:rsidR="00000000" w:rsidRPr="00000000">
        <w:rPr>
          <w:rFonts w:ascii="Roboto" w:cs="Roboto" w:eastAsia="Roboto" w:hAnsi="Roboto"/>
          <w:rtl w:val="0"/>
        </w:rPr>
        <w:t xml:space="preserve">However, significant hurdles remain. Technical charts indicate that Bitcoin must first achieve a decisive three-day close above $73,869 before traders can confidently argue that the current bearish structure has been neutralized.</w:t>
      </w:r>
    </w:p>
    <w:p w:rsidR="00000000" w:rsidDel="00000000" w:rsidP="00000000" w:rsidRDefault="00000000" w:rsidRPr="00000000" w14:paraId="0000000D">
      <w:pPr>
        <w:spacing w:after="200" w:lineRule="auto"/>
        <w:rPr>
          <w:rFonts w:ascii="Roboto" w:cs="Roboto" w:eastAsia="Roboto" w:hAnsi="Roboto"/>
        </w:rPr>
      </w:pPr>
      <w:r w:rsidDel="00000000" w:rsidR="00000000" w:rsidRPr="00000000">
        <w:rPr>
          <w:rFonts w:ascii="Roboto" w:cs="Roboto" w:eastAsia="Roboto" w:hAnsi="Roboto"/>
          <w:rtl w:val="0"/>
        </w:rPr>
        <w:t xml:space="preserve">Beyond that level sits another major milestone. Analysts widely regard $76,800 as the most important psychological resistance zone in the market. A successful move above this area would significantly improve sentiment and potentially create the conditions necessary for a larger rally.</w:t>
      </w:r>
    </w:p>
    <w:p w:rsidR="00000000" w:rsidDel="00000000" w:rsidP="00000000" w:rsidRDefault="00000000" w:rsidRPr="00000000" w14:paraId="0000000E">
      <w:pPr>
        <w:spacing w:after="200" w:lineRule="auto"/>
        <w:rPr>
          <w:rFonts w:ascii="Roboto" w:cs="Roboto" w:eastAsia="Roboto" w:hAnsi="Roboto"/>
        </w:rPr>
      </w:pPr>
      <w:r w:rsidDel="00000000" w:rsidR="00000000" w:rsidRPr="00000000">
        <w:rPr>
          <w:rFonts w:ascii="Roboto" w:cs="Roboto" w:eastAsia="Roboto" w:hAnsi="Roboto"/>
          <w:rtl w:val="0"/>
        </w:rPr>
        <w:t xml:space="preserve">Until then, Bitcoin remains locked in a waiting phase where patience continues to dominate investor behavior.</w:t>
      </w:r>
    </w:p>
    <w:p w:rsidR="00000000" w:rsidDel="00000000" w:rsidP="00000000" w:rsidRDefault="00000000" w:rsidRPr="00000000" w14:paraId="0000000F">
      <w:pPr>
        <w:pStyle w:val="Heading2"/>
        <w:spacing w:after="200" w:lineRule="auto"/>
        <w:rPr>
          <w:rFonts w:ascii="Roboto" w:cs="Roboto" w:eastAsia="Roboto" w:hAnsi="Roboto"/>
        </w:rPr>
      </w:pPr>
      <w:bookmarkStart w:colFirst="0" w:colLast="0" w:name="_nf3zymcjnczy" w:id="2"/>
      <w:bookmarkEnd w:id="2"/>
      <w:r w:rsidDel="00000000" w:rsidR="00000000" w:rsidRPr="00000000">
        <w:rPr>
          <w:rFonts w:ascii="Roboto" w:cs="Roboto" w:eastAsia="Roboto" w:hAnsi="Roboto"/>
          <w:rtl w:val="0"/>
        </w:rPr>
        <w:t xml:space="preserve">Why Wall Street Continues Discussing $150,000</w:t>
      </w:r>
    </w:p>
    <w:p w:rsidR="00000000" w:rsidDel="00000000" w:rsidP="00000000" w:rsidRDefault="00000000" w:rsidRPr="00000000" w14:paraId="00000010">
      <w:pPr>
        <w:spacing w:after="200" w:lineRule="auto"/>
        <w:rPr>
          <w:rFonts w:ascii="Roboto" w:cs="Roboto" w:eastAsia="Roboto" w:hAnsi="Roboto"/>
        </w:rPr>
      </w:pPr>
      <w:r w:rsidDel="00000000" w:rsidR="00000000" w:rsidRPr="00000000">
        <w:rPr>
          <w:rFonts w:ascii="Roboto" w:cs="Roboto" w:eastAsia="Roboto" w:hAnsi="Roboto"/>
          <w:rtl w:val="0"/>
        </w:rPr>
        <w:t xml:space="preserve">Despite current consolidation, long-term forecasts remain remarkably bullish.</w:t>
      </w:r>
    </w:p>
    <w:p w:rsidR="00000000" w:rsidDel="00000000" w:rsidP="00000000" w:rsidRDefault="00000000" w:rsidRPr="00000000" w14:paraId="00000011">
      <w:pPr>
        <w:spacing w:after="200" w:lineRule="auto"/>
        <w:rPr>
          <w:rFonts w:ascii="Roboto" w:cs="Roboto" w:eastAsia="Roboto" w:hAnsi="Roboto"/>
        </w:rPr>
      </w:pPr>
      <w:r w:rsidDel="00000000" w:rsidR="00000000" w:rsidRPr="00000000">
        <w:rPr>
          <w:rFonts w:ascii="Roboto" w:cs="Roboto" w:eastAsia="Roboto" w:hAnsi="Roboto"/>
          <w:rtl w:val="0"/>
        </w:rPr>
        <w:t xml:space="preserve">Bernstein continues maintaining one of the most aggressive institutional outlooks, projecting Bitcoin could eventually trade between $150,000 and $200,000 as adoption continues expanding across global financial markets.</w:t>
      </w:r>
    </w:p>
    <w:p w:rsidR="00000000" w:rsidDel="00000000" w:rsidP="00000000" w:rsidRDefault="00000000" w:rsidRPr="00000000" w14:paraId="00000012">
      <w:pPr>
        <w:spacing w:after="200" w:lineRule="auto"/>
        <w:rPr>
          <w:rFonts w:ascii="Roboto" w:cs="Roboto" w:eastAsia="Roboto" w:hAnsi="Roboto"/>
        </w:rPr>
      </w:pPr>
      <w:r w:rsidDel="00000000" w:rsidR="00000000" w:rsidRPr="00000000">
        <w:rPr>
          <w:rFonts w:ascii="Roboto" w:cs="Roboto" w:eastAsia="Roboto" w:hAnsi="Roboto"/>
          <w:rtl w:val="0"/>
        </w:rPr>
        <w:t xml:space="preserve">The firm's thesis centers on institutional participation. Over the past several years, digital assets have evolved from a niche investment category into a recognized component of diversified portfolios. This shift has dramatically increased the amount of capital capable of entering the market.</w:t>
      </w:r>
    </w:p>
    <w:p w:rsidR="00000000" w:rsidDel="00000000" w:rsidP="00000000" w:rsidRDefault="00000000" w:rsidRPr="00000000" w14:paraId="00000013">
      <w:pPr>
        <w:spacing w:after="200" w:lineRule="auto"/>
        <w:rPr>
          <w:rFonts w:ascii="Roboto" w:cs="Roboto" w:eastAsia="Roboto" w:hAnsi="Roboto"/>
        </w:rPr>
      </w:pPr>
      <w:r w:rsidDel="00000000" w:rsidR="00000000" w:rsidRPr="00000000">
        <w:rPr>
          <w:rFonts w:ascii="Roboto" w:cs="Roboto" w:eastAsia="Roboto" w:hAnsi="Roboto"/>
          <w:rtl w:val="0"/>
        </w:rPr>
        <w:t xml:space="preserve">Fundstrat analysts hold a similar view. Their research framework continues projecting Bitcoin toward the $120,000 to $170,000 range once monetary tightening eases and global liquidity conditions improve.</w:t>
      </w:r>
    </w:p>
    <w:p w:rsidR="00000000" w:rsidDel="00000000" w:rsidP="00000000" w:rsidRDefault="00000000" w:rsidRPr="00000000" w14:paraId="00000014">
      <w:pPr>
        <w:spacing w:after="200" w:lineRule="auto"/>
        <w:rPr>
          <w:rFonts w:ascii="Roboto" w:cs="Roboto" w:eastAsia="Roboto" w:hAnsi="Roboto"/>
        </w:rPr>
      </w:pPr>
      <w:r w:rsidDel="00000000" w:rsidR="00000000" w:rsidRPr="00000000">
        <w:rPr>
          <w:rFonts w:ascii="Roboto" w:cs="Roboto" w:eastAsia="Roboto" w:hAnsi="Roboto"/>
          <w:rtl w:val="0"/>
        </w:rPr>
        <w:t xml:space="preserve">These forecasts are not guarantees, but they highlight how many professional investors view Bitcoin's long-term trajectory. Rather than focusing on weekly volatility, institutions increasingly evaluate supply dynamics, adoption rates, and long-term demand growth.</w:t>
      </w:r>
    </w:p>
    <w:p w:rsidR="00000000" w:rsidDel="00000000" w:rsidP="00000000" w:rsidRDefault="00000000" w:rsidRPr="00000000" w14:paraId="00000015">
      <w:pPr>
        <w:spacing w:after="200" w:lineRule="auto"/>
        <w:rPr>
          <w:rFonts w:ascii="Roboto" w:cs="Roboto" w:eastAsia="Roboto" w:hAnsi="Roboto"/>
        </w:rPr>
      </w:pPr>
      <w:r w:rsidDel="00000000" w:rsidR="00000000" w:rsidRPr="00000000">
        <w:rPr>
          <w:rFonts w:ascii="Roboto" w:cs="Roboto" w:eastAsia="Roboto" w:hAnsi="Roboto"/>
          <w:rtl w:val="0"/>
        </w:rPr>
        <w:t xml:space="preserve">As a result, six-figure Bitcoin targets remain part of mainstream market discussions.</w:t>
      </w:r>
    </w:p>
    <w:p w:rsidR="00000000" w:rsidDel="00000000" w:rsidP="00000000" w:rsidRDefault="00000000" w:rsidRPr="00000000" w14:paraId="00000016">
      <w:pPr>
        <w:pStyle w:val="Heading2"/>
        <w:spacing w:after="200" w:lineRule="auto"/>
        <w:rPr>
          <w:rFonts w:ascii="Roboto" w:cs="Roboto" w:eastAsia="Roboto" w:hAnsi="Roboto"/>
        </w:rPr>
      </w:pPr>
      <w:bookmarkStart w:colFirst="0" w:colLast="0" w:name="_djn65kuljbmd" w:id="3"/>
      <w:bookmarkEnd w:id="3"/>
      <w:r w:rsidDel="00000000" w:rsidR="00000000" w:rsidRPr="00000000">
        <w:rPr>
          <w:rFonts w:ascii="Roboto" w:cs="Roboto" w:eastAsia="Roboto" w:hAnsi="Roboto"/>
          <w:rtl w:val="0"/>
        </w:rPr>
        <w:t xml:space="preserve">ETF Demand Could Become the Biggest Catalyst</w:t>
      </w:r>
    </w:p>
    <w:p w:rsidR="00000000" w:rsidDel="00000000" w:rsidP="00000000" w:rsidRDefault="00000000" w:rsidRPr="00000000" w14:paraId="00000017">
      <w:pPr>
        <w:spacing w:after="200" w:lineRule="auto"/>
        <w:rPr>
          <w:rFonts w:ascii="Roboto" w:cs="Roboto" w:eastAsia="Roboto" w:hAnsi="Roboto"/>
        </w:rPr>
      </w:pPr>
      <w:r w:rsidDel="00000000" w:rsidR="00000000" w:rsidRPr="00000000">
        <w:rPr>
          <w:rFonts w:ascii="Roboto" w:cs="Roboto" w:eastAsia="Roboto" w:hAnsi="Roboto"/>
          <w:rtl w:val="0"/>
        </w:rPr>
        <w:t xml:space="preserve">One of the strongest arguments supporting a move toward $150,000 involves exchange-traded funds.</w:t>
      </w:r>
    </w:p>
    <w:p w:rsidR="00000000" w:rsidDel="00000000" w:rsidP="00000000" w:rsidRDefault="00000000" w:rsidRPr="00000000" w14:paraId="00000018">
      <w:pPr>
        <w:spacing w:after="200" w:lineRule="auto"/>
        <w:rPr>
          <w:rFonts w:ascii="Roboto" w:cs="Roboto" w:eastAsia="Roboto" w:hAnsi="Roboto"/>
        </w:rPr>
      </w:pPr>
      <w:r w:rsidDel="00000000" w:rsidR="00000000" w:rsidRPr="00000000">
        <w:rPr>
          <w:rFonts w:ascii="Roboto" w:cs="Roboto" w:eastAsia="Roboto" w:hAnsi="Roboto"/>
          <w:rtl w:val="0"/>
        </w:rPr>
        <w:t xml:space="preserve">According to Bitwise executive Matt Hougan, newly approved Spot Bitcoin ETFs are creating a structural imbalance between supply and demand. The key issue is that these investment vehicles may ultimately purchase more Bitcoin than miners can produce.</w:t>
      </w:r>
    </w:p>
    <w:p w:rsidR="00000000" w:rsidDel="00000000" w:rsidP="00000000" w:rsidRDefault="00000000" w:rsidRPr="00000000" w14:paraId="00000019">
      <w:pPr>
        <w:spacing w:after="200" w:lineRule="auto"/>
        <w:rPr>
          <w:rFonts w:ascii="Roboto" w:cs="Roboto" w:eastAsia="Roboto" w:hAnsi="Roboto"/>
        </w:rPr>
      </w:pPr>
      <w:r w:rsidDel="00000000" w:rsidR="00000000" w:rsidRPr="00000000">
        <w:rPr>
          <w:rFonts w:ascii="Roboto" w:cs="Roboto" w:eastAsia="Roboto" w:hAnsi="Roboto"/>
          <w:rtl w:val="0"/>
        </w:rPr>
        <w:t xml:space="preserve">Bitcoin's supply remains fixed by design. New issuance enters circulation at a predictable rate, while institutional demand continues expanding through regulated investment products.</w:t>
      </w:r>
    </w:p>
    <w:p w:rsidR="00000000" w:rsidDel="00000000" w:rsidP="00000000" w:rsidRDefault="00000000" w:rsidRPr="00000000" w14:paraId="0000001A">
      <w:pPr>
        <w:spacing w:after="200" w:lineRule="auto"/>
        <w:rPr>
          <w:rFonts w:ascii="Roboto" w:cs="Roboto" w:eastAsia="Roboto" w:hAnsi="Roboto"/>
        </w:rPr>
      </w:pPr>
      <w:r w:rsidDel="00000000" w:rsidR="00000000" w:rsidRPr="00000000">
        <w:rPr>
          <w:rFonts w:ascii="Roboto" w:cs="Roboto" w:eastAsia="Roboto" w:hAnsi="Roboto"/>
          <w:rtl w:val="0"/>
        </w:rPr>
        <w:t xml:space="preserve">If ETF inflows accelerate over time, available supply could become increasingly scarce. This dynamic has become one of the most widely discussed bullish catalysts in the market.</w:t>
      </w:r>
    </w:p>
    <w:p w:rsidR="00000000" w:rsidDel="00000000" w:rsidP="00000000" w:rsidRDefault="00000000" w:rsidRPr="00000000" w14:paraId="0000001B">
      <w:pPr>
        <w:spacing w:after="200" w:lineRule="auto"/>
        <w:rPr>
          <w:rFonts w:ascii="Roboto" w:cs="Roboto" w:eastAsia="Roboto" w:hAnsi="Roboto"/>
        </w:rPr>
      </w:pPr>
      <w:r w:rsidDel="00000000" w:rsidR="00000000" w:rsidRPr="00000000">
        <w:rPr>
          <w:rFonts w:ascii="Roboto" w:cs="Roboto" w:eastAsia="Roboto" w:hAnsi="Roboto"/>
          <w:rtl w:val="0"/>
        </w:rPr>
        <w:t xml:space="preserve">Many analysts believe this structural demand story differs from previous market cycles because it is driven by institutional allocation rather than purely retail speculation.</w:t>
      </w:r>
    </w:p>
    <w:p w:rsidR="00000000" w:rsidDel="00000000" w:rsidP="00000000" w:rsidRDefault="00000000" w:rsidRPr="00000000" w14:paraId="0000001C">
      <w:pPr>
        <w:spacing w:after="200" w:lineRule="auto"/>
        <w:rPr>
          <w:rFonts w:ascii="Roboto" w:cs="Roboto" w:eastAsia="Roboto" w:hAnsi="Roboto"/>
        </w:rPr>
      </w:pPr>
      <w:r w:rsidDel="00000000" w:rsidR="00000000" w:rsidRPr="00000000">
        <w:rPr>
          <w:rFonts w:ascii="Roboto" w:cs="Roboto" w:eastAsia="Roboto" w:hAnsi="Roboto"/>
          <w:rtl w:val="0"/>
        </w:rPr>
        <w:t xml:space="preserve">That distinction could play a major role in determining Bitcoin's long-term valuation.</w:t>
      </w:r>
    </w:p>
    <w:p w:rsidR="00000000" w:rsidDel="00000000" w:rsidP="00000000" w:rsidRDefault="00000000" w:rsidRPr="00000000" w14:paraId="0000001D">
      <w:pPr>
        <w:pStyle w:val="Heading2"/>
        <w:spacing w:after="200" w:lineRule="auto"/>
        <w:rPr>
          <w:rFonts w:ascii="Roboto" w:cs="Roboto" w:eastAsia="Roboto" w:hAnsi="Roboto"/>
        </w:rPr>
      </w:pPr>
      <w:bookmarkStart w:colFirst="0" w:colLast="0" w:name="_h2k0c4b9kca" w:id="4"/>
      <w:bookmarkEnd w:id="4"/>
      <w:r w:rsidDel="00000000" w:rsidR="00000000" w:rsidRPr="00000000">
        <w:rPr>
          <w:rFonts w:ascii="Roboto" w:cs="Roboto" w:eastAsia="Roboto" w:hAnsi="Roboto"/>
          <w:rtl w:val="0"/>
        </w:rPr>
        <w:t xml:space="preserve">Why Investors Are Watching MemeToro During Consolidation</w:t>
      </w:r>
    </w:p>
    <w:p w:rsidR="00000000" w:rsidDel="00000000" w:rsidP="00000000" w:rsidRDefault="00000000" w:rsidRPr="00000000" w14:paraId="0000001E">
      <w:pPr>
        <w:spacing w:after="200" w:lineRule="auto"/>
        <w:rPr>
          <w:rFonts w:ascii="Roboto" w:cs="Roboto" w:eastAsia="Roboto" w:hAnsi="Roboto"/>
        </w:rPr>
      </w:pPr>
      <w:r w:rsidDel="00000000" w:rsidR="00000000" w:rsidRPr="00000000">
        <w:rPr>
          <w:rFonts w:ascii="Roboto" w:cs="Roboto" w:eastAsia="Roboto" w:hAnsi="Roboto"/>
          <w:rtl w:val="0"/>
        </w:rPr>
        <w:t xml:space="preserve">While Bitcoin remains the market leader, investors often explore emerging opportunities during periods of consolidation.</w:t>
      </w:r>
    </w:p>
    <w:p w:rsidR="00000000" w:rsidDel="00000000" w:rsidP="00000000" w:rsidRDefault="00000000" w:rsidRPr="00000000" w14:paraId="0000001F">
      <w:pPr>
        <w:spacing w:after="200" w:lineRule="auto"/>
        <w:rPr>
          <w:rFonts w:ascii="Roboto" w:cs="Roboto" w:eastAsia="Roboto" w:hAnsi="Roboto"/>
        </w:rPr>
      </w:pPr>
      <w:hyperlink r:id="rId10">
        <w:r w:rsidDel="00000000" w:rsidR="00000000" w:rsidRPr="00000000">
          <w:rPr>
            <w:rFonts w:ascii="Roboto" w:cs="Roboto" w:eastAsia="Roboto" w:hAnsi="Roboto"/>
            <w:color w:val="1155cc"/>
            <w:u w:val="single"/>
            <w:rtl w:val="0"/>
          </w:rPr>
          <w:t xml:space="preserve">MemeToro $MT</w:t>
        </w:r>
      </w:hyperlink>
      <w:r w:rsidDel="00000000" w:rsidR="00000000" w:rsidRPr="00000000">
        <w:rPr>
          <w:rFonts w:ascii="Roboto" w:cs="Roboto" w:eastAsia="Roboto" w:hAnsi="Roboto"/>
          <w:rtl w:val="0"/>
        </w:rPr>
        <w:t xml:space="preserve"> has become one of the projects attracting attention within the AI and social finance sector. Built on BNB Chain, the ecosystem combines prediction markets, token creation infrastructure, staking functionality, and AI-powered trend discovery tools.</w:t>
      </w:r>
    </w:p>
    <w:p w:rsidR="00000000" w:rsidDel="00000000" w:rsidP="00000000" w:rsidRDefault="00000000" w:rsidRPr="00000000" w14:paraId="00000020">
      <w:pPr>
        <w:spacing w:after="200" w:lineRule="auto"/>
        <w:rPr>
          <w:rFonts w:ascii="Roboto" w:cs="Roboto" w:eastAsia="Roboto" w:hAnsi="Roboto"/>
        </w:rPr>
      </w:pPr>
      <w:r w:rsidDel="00000000" w:rsidR="00000000" w:rsidRPr="00000000">
        <w:rPr>
          <w:rFonts w:ascii="Roboto" w:cs="Roboto" w:eastAsia="Roboto" w:hAnsi="Roboto"/>
          <w:rtl w:val="0"/>
        </w:rPr>
        <w:t xml:space="preserve">MemeToro has officially advanced to Stage 2 of its presale, with $68,311.41 raised so far toward the $78,590.46 round target. The current $MT token price is set at $0.00139, and the next tier will move to $0.00154 once Stage 2 wraps. Early buyers benefit from the lower entry while it lasts.</w:t>
      </w:r>
    </w:p>
    <w:p w:rsidR="00000000" w:rsidDel="00000000" w:rsidP="00000000" w:rsidRDefault="00000000" w:rsidRPr="00000000" w14:paraId="00000021">
      <w:pPr>
        <w:spacing w:after="200" w:lineRule="auto"/>
        <w:rPr>
          <w:rFonts w:ascii="Roboto" w:cs="Roboto" w:eastAsia="Roboto" w:hAnsi="Roboto"/>
        </w:rPr>
      </w:pPr>
      <w:r w:rsidDel="00000000" w:rsidR="00000000" w:rsidRPr="00000000">
        <w:rPr>
          <w:rFonts w:ascii="Roboto" w:cs="Roboto" w:eastAsia="Roboto" w:hAnsi="Roboto"/>
          <w:rtl w:val="0"/>
        </w:rPr>
        <w:t xml:space="preserve">The checkout flow supports crypto wallets and card payments side by side. Buyers can transact in their preferred crypto or pay directly through Visa, Mastercard, Apple Pay, or Google Pay. That flexibility makes the </w:t>
      </w:r>
      <w:hyperlink r:id="rId11">
        <w:r w:rsidDel="00000000" w:rsidR="00000000" w:rsidRPr="00000000">
          <w:rPr>
            <w:rFonts w:ascii="Roboto" w:cs="Roboto" w:eastAsia="Roboto" w:hAnsi="Roboto"/>
            <w:color w:val="1155cc"/>
            <w:u w:val="single"/>
            <w:rtl w:val="0"/>
          </w:rPr>
          <w:t xml:space="preserve">MemeToro $MT</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presale accessible to both seasoned crypto traders and first-time Web3 participants.</w:t>
      </w:r>
    </w:p>
    <w:p w:rsidR="00000000" w:rsidDel="00000000" w:rsidP="00000000" w:rsidRDefault="00000000" w:rsidRPr="00000000" w14:paraId="00000022">
      <w:pPr>
        <w:spacing w:after="200" w:lineRule="auto"/>
        <w:rPr>
          <w:rFonts w:ascii="Roboto" w:cs="Roboto" w:eastAsia="Roboto" w:hAnsi="Roboto"/>
        </w:rPr>
      </w:pPr>
      <w:hyperlink r:id="rId12">
        <w:r w:rsidDel="00000000" w:rsidR="00000000" w:rsidRPr="00000000">
          <w:rPr>
            <w:rFonts w:ascii="Roboto" w:cs="Roboto" w:eastAsia="Roboto" w:hAnsi="Roboto"/>
            <w:color w:val="1155cc"/>
            <w:u w:val="single"/>
          </w:rPr>
          <w:drawing>
            <wp:inline distB="114300" distT="114300" distL="114300" distR="114300">
              <wp:extent cx="5943600" cy="3200400"/>
              <wp:effectExtent b="0" l="0" r="0" t="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943600" cy="3200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3">
      <w:pPr>
        <w:pStyle w:val="Heading2"/>
        <w:spacing w:after="200" w:lineRule="auto"/>
        <w:rPr>
          <w:rFonts w:ascii="Roboto" w:cs="Roboto" w:eastAsia="Roboto" w:hAnsi="Roboto"/>
        </w:rPr>
      </w:pPr>
      <w:bookmarkStart w:colFirst="0" w:colLast="0" w:name="_y080yczbv0o2" w:id="5"/>
      <w:bookmarkEnd w:id="5"/>
      <w:r w:rsidDel="00000000" w:rsidR="00000000" w:rsidRPr="00000000">
        <w:rPr>
          <w:rFonts w:ascii="Roboto" w:cs="Roboto" w:eastAsia="Roboto" w:hAnsi="Roboto"/>
          <w:rtl w:val="0"/>
        </w:rPr>
        <w:t xml:space="preserve">Can Bitcoin Hit $150K?</w:t>
      </w:r>
    </w:p>
    <w:p w:rsidR="00000000" w:rsidDel="00000000" w:rsidP="00000000" w:rsidRDefault="00000000" w:rsidRPr="00000000" w14:paraId="00000024">
      <w:pPr>
        <w:spacing w:after="200" w:lineRule="auto"/>
        <w:rPr>
          <w:rFonts w:ascii="Roboto" w:cs="Roboto" w:eastAsia="Roboto" w:hAnsi="Roboto"/>
        </w:rPr>
      </w:pPr>
      <w:r w:rsidDel="00000000" w:rsidR="00000000" w:rsidRPr="00000000">
        <w:rPr>
          <w:rFonts w:ascii="Roboto" w:cs="Roboto" w:eastAsia="Roboto" w:hAnsi="Roboto"/>
          <w:rtl w:val="0"/>
        </w:rPr>
        <w:t xml:space="preserve">Bitcoin's path toward $150,000 remains uncertain, but the long-term case continues attracting support from major institutions and market analysts. While technical resistance levels still need to be overcome, growing ETF demand and expanding institutional participation remain powerful tailwinds.</w:t>
      </w:r>
    </w:p>
    <w:p w:rsidR="00000000" w:rsidDel="00000000" w:rsidP="00000000" w:rsidRDefault="00000000" w:rsidRPr="00000000" w14:paraId="00000025">
      <w:pPr>
        <w:spacing w:after="200" w:lineRule="auto"/>
        <w:rPr>
          <w:rFonts w:ascii="Roboto" w:cs="Roboto" w:eastAsia="Roboto" w:hAnsi="Roboto"/>
        </w:rPr>
      </w:pPr>
      <w:r w:rsidDel="00000000" w:rsidR="00000000" w:rsidRPr="00000000">
        <w:rPr>
          <w:rFonts w:ascii="Roboto" w:cs="Roboto" w:eastAsia="Roboto" w:hAnsi="Roboto"/>
          <w:rtl w:val="0"/>
        </w:rPr>
        <w:t xml:space="preserve">The coming months will likely depend on whether Bitcoin can reclaim higher resistance zones and sustain stronger momentum. At the same time, investors continue researching emerging ecosystems such as MemeToro that could benefit from broader market growth.</w:t>
      </w:r>
    </w:p>
    <w:p w:rsidR="00000000" w:rsidDel="00000000" w:rsidP="00000000" w:rsidRDefault="00000000" w:rsidRPr="00000000" w14:paraId="00000026">
      <w:pPr>
        <w:spacing w:after="200" w:lineRule="auto"/>
        <w:rPr>
          <w:rFonts w:ascii="Roboto" w:cs="Roboto" w:eastAsia="Roboto" w:hAnsi="Roboto"/>
        </w:rPr>
      </w:pPr>
      <w:r w:rsidDel="00000000" w:rsidR="00000000" w:rsidRPr="00000000">
        <w:rPr>
          <w:rFonts w:ascii="Roboto" w:cs="Roboto" w:eastAsia="Roboto" w:hAnsi="Roboto"/>
          <w:rtl w:val="0"/>
        </w:rPr>
        <w:t xml:space="preserve">If liquidity conditions improve and institutional adoption continues accelerating, the discussion surrounding a $150,000 Bitcoin may become increasingly realistic rather than purely speculative.</w:t>
      </w:r>
    </w:p>
    <w:p w:rsidR="00000000" w:rsidDel="00000000" w:rsidP="00000000" w:rsidRDefault="00000000" w:rsidRPr="00000000" w14:paraId="00000027">
      <w:pPr>
        <w:spacing w:after="200" w:lineRule="auto"/>
        <w:rPr>
          <w:rFonts w:ascii="Roboto" w:cs="Roboto" w:eastAsia="Roboto" w:hAnsi="Roboto"/>
          <w:b w:val="1"/>
          <w:bCs w:val="1"/>
        </w:rPr>
      </w:pPr>
      <w:r w:rsidDel="00000000" w:rsidR="00000000" w:rsidRPr="00000000">
        <w:rPr>
          <w:rFonts w:ascii="Roboto" w:cs="Roboto" w:eastAsia="Roboto" w:hAnsi="Roboto"/>
          <w:b w:val="1"/>
          <w:bCs w:val="1"/>
          <w:rtl w:val="0"/>
        </w:rPr>
        <w:t xml:space="preserve">More Information on MemeToro ($MT) Presale Here:</w:t>
      </w:r>
    </w:p>
    <w:p w:rsidR="00000000" w:rsidDel="00000000" w:rsidP="00000000" w:rsidRDefault="00000000" w:rsidRPr="00000000" w14:paraId="00000028">
      <w:pPr>
        <w:spacing w:after="200" w:lineRule="auto"/>
        <w:rPr>
          <w:rFonts w:ascii="Roboto" w:cs="Roboto" w:eastAsia="Roboto" w:hAnsi="Roboto"/>
        </w:rPr>
      </w:pPr>
      <w:r w:rsidDel="00000000" w:rsidR="00000000" w:rsidRPr="00000000">
        <w:rPr>
          <w:rFonts w:ascii="Roboto" w:cs="Roboto" w:eastAsia="Roboto" w:hAnsi="Roboto"/>
          <w:rtl w:val="0"/>
        </w:rPr>
        <w:t xml:space="preserve">Website: </w:t>
      </w:r>
      <w:hyperlink r:id="rId14">
        <w:r w:rsidDel="00000000" w:rsidR="00000000" w:rsidRPr="00000000">
          <w:rPr>
            <w:rFonts w:ascii="Roboto" w:cs="Roboto" w:eastAsia="Roboto" w:hAnsi="Roboto"/>
            <w:color w:val="1155cc"/>
            <w:u w:val="single"/>
            <w:rtl w:val="0"/>
          </w:rPr>
          <w:t xml:space="preserve">https://memetoro.com/</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29">
      <w:pPr>
        <w:spacing w:after="200" w:lineRule="auto"/>
        <w:rPr>
          <w:rFonts w:ascii="Roboto" w:cs="Roboto" w:eastAsia="Roboto" w:hAnsi="Roboto"/>
        </w:rPr>
      </w:pPr>
      <w:r w:rsidDel="00000000" w:rsidR="00000000" w:rsidRPr="00000000">
        <w:rPr>
          <w:rFonts w:ascii="Roboto" w:cs="Roboto" w:eastAsia="Roboto" w:hAnsi="Roboto"/>
          <w:rtl w:val="0"/>
        </w:rPr>
        <w:t xml:space="preserve">X: </w:t>
      </w:r>
      <w:hyperlink r:id="rId15">
        <w:r w:rsidDel="00000000" w:rsidR="00000000" w:rsidRPr="00000000">
          <w:rPr>
            <w:rFonts w:ascii="Roboto" w:cs="Roboto" w:eastAsia="Roboto" w:hAnsi="Roboto"/>
            <w:color w:val="1155cc"/>
            <w:u w:val="single"/>
            <w:rtl w:val="0"/>
          </w:rPr>
          <w:t xml:space="preserve">https://x.com/memetoro_mt</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2A">
      <w:pPr>
        <w:spacing w:after="200" w:lineRule="auto"/>
        <w:rPr>
          <w:rFonts w:ascii="Roboto" w:cs="Roboto" w:eastAsia="Roboto" w:hAnsi="Roboto"/>
        </w:rPr>
      </w:pPr>
      <w:r w:rsidDel="00000000" w:rsidR="00000000" w:rsidRPr="00000000">
        <w:rPr>
          <w:rFonts w:ascii="Roboto" w:cs="Roboto" w:eastAsia="Roboto" w:hAnsi="Roboto"/>
          <w:rtl w:val="0"/>
        </w:rPr>
        <w:t xml:space="preserve">Telegram: </w:t>
      </w:r>
      <w:hyperlink r:id="rId16">
        <w:r w:rsidDel="00000000" w:rsidR="00000000" w:rsidRPr="00000000">
          <w:rPr>
            <w:rFonts w:ascii="Roboto" w:cs="Roboto" w:eastAsia="Roboto" w:hAnsi="Roboto"/>
            <w:color w:val="1155cc"/>
            <w:u w:val="single"/>
            <w:rtl w:val="0"/>
          </w:rPr>
          <w:t xml:space="preserve">https://t.me/memetoro_mt</w:t>
        </w:r>
      </w:hyperlink>
      <w:r w:rsidDel="00000000" w:rsidR="00000000" w:rsidRPr="00000000">
        <w:rPr>
          <w:rFonts w:ascii="Roboto" w:cs="Roboto" w:eastAsia="Roboto" w:hAnsi="Roboto"/>
          <w:rtl w:val="0"/>
        </w:rPr>
        <w:t xml:space="preserv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memetoro.com/" TargetMode="External"/><Relationship Id="rId10" Type="http://schemas.openxmlformats.org/officeDocument/2006/relationships/hyperlink" Target="https://memetoro.com/" TargetMode="External"/><Relationship Id="rId13" Type="http://schemas.openxmlformats.org/officeDocument/2006/relationships/image" Target="media/image2.png"/><Relationship Id="rId12" Type="http://schemas.openxmlformats.org/officeDocument/2006/relationships/hyperlink" Target="http://memetoro.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x.com/memetoro_mt" TargetMode="External"/><Relationship Id="rId14" Type="http://schemas.openxmlformats.org/officeDocument/2006/relationships/hyperlink" Target="https://memetoro.com/" TargetMode="External"/><Relationship Id="rId16" Type="http://schemas.openxmlformats.org/officeDocument/2006/relationships/hyperlink" Target="https://t.me/memetoro_mt"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memetoro.com/" TargetMode="External"/><Relationship Id="rId8" Type="http://schemas.openxmlformats.org/officeDocument/2006/relationships/hyperlink" Target="http://memetor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