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lineRule="auto"/>
        <w:rPr>
          <w:rFonts w:ascii="Roboto" w:cs="Roboto" w:eastAsia="Roboto" w:hAnsi="Roboto"/>
        </w:rPr>
      </w:pPr>
      <w:bookmarkStart w:colFirst="0" w:colLast="0" w:name="_z9wvdzde3dxs" w:id="0"/>
      <w:bookmarkEnd w:id="0"/>
      <w:r w:rsidDel="00000000" w:rsidR="00000000" w:rsidRPr="00000000">
        <w:rPr>
          <w:rFonts w:ascii="Roboto" w:cs="Roboto" w:eastAsia="Roboto" w:hAnsi="Roboto"/>
          <w:rtl w:val="0"/>
        </w:rPr>
        <w:t xml:space="preserve">Bitcoin Price Prediction: Can BTC Reach a New All-Time High?</w:t>
      </w:r>
    </w:p>
    <w:p w:rsidR="00000000" w:rsidDel="00000000" w:rsidP="00000000" w:rsidRDefault="00000000" w:rsidRPr="00000000" w14:paraId="00000002">
      <w:pPr>
        <w:spacing w:after="200" w:lineRule="auto"/>
        <w:rPr>
          <w:rFonts w:ascii="Roboto" w:cs="Roboto" w:eastAsia="Roboto" w:hAnsi="Roboto"/>
        </w:rPr>
      </w:pPr>
      <w:r w:rsidDel="00000000" w:rsidR="00000000" w:rsidRPr="00000000">
        <w:rPr>
          <w:rFonts w:ascii="Roboto" w:cs="Roboto" w:eastAsia="Roboto" w:hAnsi="Roboto"/>
          <w:b w:val="1"/>
          <w:bCs w:val="1"/>
          <w:rtl w:val="0"/>
        </w:rPr>
        <w:t xml:space="preserve">Meta Description:</w:t>
      </w:r>
      <w:r w:rsidDel="00000000" w:rsidR="00000000" w:rsidRPr="00000000">
        <w:rPr>
          <w:rFonts w:ascii="Roboto" w:cs="Roboto" w:eastAsia="Roboto" w:hAnsi="Roboto"/>
          <w:rtl w:val="0"/>
        </w:rPr>
        <w:t xml:space="preserve"> Bitcoin remains in consolidation while investors monitor projects like MemeToro and other growth narratives ahead of potential market expansion.</w:t>
      </w:r>
    </w:p>
    <w:p w:rsidR="00000000" w:rsidDel="00000000" w:rsidP="00000000" w:rsidRDefault="00000000" w:rsidRPr="00000000" w14:paraId="00000003">
      <w:pPr>
        <w:spacing w:after="200" w:lineRule="auto"/>
        <w:rPr>
          <w:rFonts w:ascii="Roboto" w:cs="Roboto" w:eastAsia="Roboto" w:hAnsi="Roboto"/>
        </w:rPr>
      </w:pPr>
      <w:r w:rsidDel="00000000" w:rsidR="00000000" w:rsidRPr="00000000">
        <w:rPr/>
        <w:drawing>
          <wp:inline distB="114300" distT="114300" distL="114300" distR="114300">
            <wp:extent cx="5943600" cy="39624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Roboto" w:cs="Roboto" w:eastAsia="Roboto" w:hAnsi="Roboto"/>
        </w:rPr>
      </w:pPr>
      <w:r w:rsidDel="00000000" w:rsidR="00000000" w:rsidRPr="00000000">
        <w:rPr>
          <w:rFonts w:ascii="Roboto" w:cs="Roboto" w:eastAsia="Roboto" w:hAnsi="Roboto"/>
          <w:rtl w:val="0"/>
        </w:rPr>
        <w:t xml:space="preserve">Bitcoin continues to dominate crypto market discussions as investors debate whether the world's largest cryptocurrency can eventually reach a new all-time high. Despite recent volatility, BTC remains the primary benchmark for risk appetite across digital assets and continues to influence liquidity flows throughout the market.</w:t>
      </w:r>
    </w:p>
    <w:p w:rsidR="00000000" w:rsidDel="00000000" w:rsidP="00000000" w:rsidRDefault="00000000" w:rsidRPr="00000000" w14:paraId="00000005">
      <w:pPr>
        <w:spacing w:after="200" w:lineRule="auto"/>
        <w:rPr>
          <w:rFonts w:ascii="Roboto" w:cs="Roboto" w:eastAsia="Roboto" w:hAnsi="Roboto"/>
        </w:rPr>
      </w:pPr>
      <w:r w:rsidDel="00000000" w:rsidR="00000000" w:rsidRPr="00000000">
        <w:rPr>
          <w:rFonts w:ascii="Roboto" w:cs="Roboto" w:eastAsia="Roboto" w:hAnsi="Roboto"/>
          <w:rtl w:val="0"/>
        </w:rPr>
        <w:t xml:space="preserve">As of June 2026, Bitcoin is trading within a well-defined consolidation range between $63,727 and $67,220. While this price action may appear uneventful on the surface, many analysts view prolonged consolidation periods as necessary foundations for larger market moves. </w:t>
      </w:r>
    </w:p>
    <w:p w:rsidR="00000000" w:rsidDel="00000000" w:rsidP="00000000" w:rsidRDefault="00000000" w:rsidRPr="00000000" w14:paraId="00000006">
      <w:pPr>
        <w:spacing w:after="200" w:lineRule="auto"/>
        <w:rPr>
          <w:rFonts w:ascii="Roboto" w:cs="Roboto" w:eastAsia="Roboto" w:hAnsi="Roboto"/>
        </w:rPr>
      </w:pPr>
      <w:r w:rsidDel="00000000" w:rsidR="00000000" w:rsidRPr="00000000">
        <w:rPr>
          <w:rFonts w:ascii="Roboto" w:cs="Roboto" w:eastAsia="Roboto" w:hAnsi="Roboto"/>
          <w:rtl w:val="0"/>
        </w:rPr>
        <w:t xml:space="preserve">During these phases, investors often monitor both established assets and emerging ecosystems such as </w:t>
      </w:r>
      <w:hyperlink r:id="rId7">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that could benefit if broader market momentum returns.</w:t>
      </w:r>
    </w:p>
    <w:p w:rsidR="00000000" w:rsidDel="00000000" w:rsidP="00000000" w:rsidRDefault="00000000" w:rsidRPr="00000000" w14:paraId="00000007">
      <w:pPr>
        <w:spacing w:after="200" w:lineRule="auto"/>
        <w:rPr>
          <w:rFonts w:ascii="Roboto" w:cs="Roboto" w:eastAsia="Roboto" w:hAnsi="Roboto"/>
        </w:rPr>
      </w:pPr>
      <w:r w:rsidDel="00000000" w:rsidR="00000000" w:rsidRPr="00000000">
        <w:rPr>
          <w:rFonts w:ascii="Roboto" w:cs="Roboto" w:eastAsia="Roboto" w:hAnsi="Roboto"/>
          <w:rtl w:val="0"/>
        </w:rPr>
        <w:t xml:space="preserve">The question facing traders is simple: can Bitcoin break out of its current range and begin a new expansion cycle, or will macroeconomic headwinds continue delaying the next major rally?</w:t>
      </w:r>
    </w:p>
    <w:p w:rsidR="00000000" w:rsidDel="00000000" w:rsidP="00000000" w:rsidRDefault="00000000" w:rsidRPr="00000000" w14:paraId="00000008">
      <w:pPr>
        <w:pStyle w:val="Heading2"/>
        <w:spacing w:after="200" w:lineRule="auto"/>
        <w:rPr>
          <w:rFonts w:ascii="Roboto" w:cs="Roboto" w:eastAsia="Roboto" w:hAnsi="Roboto"/>
        </w:rPr>
      </w:pPr>
      <w:bookmarkStart w:colFirst="0" w:colLast="0" w:name="_iw5qw7a2efbe" w:id="1"/>
      <w:bookmarkEnd w:id="1"/>
      <w:r w:rsidDel="00000000" w:rsidR="00000000" w:rsidRPr="00000000">
        <w:rPr>
          <w:rFonts w:ascii="Roboto" w:cs="Roboto" w:eastAsia="Roboto" w:hAnsi="Roboto"/>
          <w:rtl w:val="0"/>
        </w:rPr>
        <w:t xml:space="preserve">Bitcoin Continues Building Strength Inside Consolidation</w:t>
      </w:r>
    </w:p>
    <w:p w:rsidR="00000000" w:rsidDel="00000000" w:rsidP="00000000" w:rsidRDefault="00000000" w:rsidRPr="00000000" w14:paraId="00000009">
      <w:pPr>
        <w:spacing w:after="200" w:lineRule="auto"/>
        <w:rPr>
          <w:rFonts w:ascii="Roboto" w:cs="Roboto" w:eastAsia="Roboto" w:hAnsi="Roboto"/>
        </w:rPr>
      </w:pPr>
      <w:r w:rsidDel="00000000" w:rsidR="00000000" w:rsidRPr="00000000">
        <w:rPr>
          <w:rFonts w:ascii="Roboto" w:cs="Roboto" w:eastAsia="Roboto" w:hAnsi="Roboto"/>
          <w:rtl w:val="0"/>
        </w:rPr>
        <w:t xml:space="preserve">Market participants remain focused on Bitcoin's current trading structure. According to technical analysts, BTC is actively defending support levels while attempting to build enough momentum to challenge higher resistance zones.</w:t>
      </w:r>
    </w:p>
    <w:p w:rsidR="00000000" w:rsidDel="00000000" w:rsidP="00000000" w:rsidRDefault="00000000" w:rsidRPr="00000000" w14:paraId="0000000A">
      <w:pPr>
        <w:spacing w:after="200" w:lineRule="auto"/>
        <w:rPr>
          <w:rFonts w:ascii="Roboto" w:cs="Roboto" w:eastAsia="Roboto" w:hAnsi="Roboto"/>
        </w:rPr>
      </w:pPr>
      <w:r w:rsidDel="00000000" w:rsidR="00000000" w:rsidRPr="00000000">
        <w:rPr>
          <w:rFonts w:ascii="Roboto" w:cs="Roboto" w:eastAsia="Roboto" w:hAnsi="Roboto"/>
          <w:rtl w:val="0"/>
        </w:rPr>
        <w:t xml:space="preserve">The most important near-term level remains the $76,800 psychological milestone. Many traders believe a decisive move above this area would significantly improve sentiment and potentially attract additional institutional capital.</w:t>
      </w:r>
    </w:p>
    <w:p w:rsidR="00000000" w:rsidDel="00000000" w:rsidP="00000000" w:rsidRDefault="00000000" w:rsidRPr="00000000" w14:paraId="0000000B">
      <w:pPr>
        <w:spacing w:after="200" w:lineRule="auto"/>
        <w:rPr>
          <w:rFonts w:ascii="Roboto" w:cs="Roboto" w:eastAsia="Roboto" w:hAnsi="Roboto"/>
        </w:rPr>
      </w:pPr>
      <w:r w:rsidDel="00000000" w:rsidR="00000000" w:rsidRPr="00000000">
        <w:rPr>
          <w:rFonts w:ascii="Roboto" w:cs="Roboto" w:eastAsia="Roboto" w:hAnsi="Roboto"/>
          <w:rtl w:val="0"/>
        </w:rPr>
        <w:t xml:space="preserve">Consolidation phases often create frustration because they lack strong directional movement. However, historical market cycles show that extended periods of compression frequently occur before major trends emerge.</w:t>
      </w:r>
    </w:p>
    <w:p w:rsidR="00000000" w:rsidDel="00000000" w:rsidP="00000000" w:rsidRDefault="00000000" w:rsidRPr="00000000" w14:paraId="0000000C">
      <w:pPr>
        <w:spacing w:after="200" w:lineRule="auto"/>
        <w:rPr>
          <w:rFonts w:ascii="Roboto" w:cs="Roboto" w:eastAsia="Roboto" w:hAnsi="Roboto"/>
        </w:rPr>
      </w:pPr>
      <w:r w:rsidDel="00000000" w:rsidR="00000000" w:rsidRPr="00000000">
        <w:rPr>
          <w:rFonts w:ascii="Roboto" w:cs="Roboto" w:eastAsia="Roboto" w:hAnsi="Roboto"/>
          <w:rtl w:val="0"/>
        </w:rPr>
        <w:t xml:space="preserve">This explains why many long-term investors remain patient despite the lack of immediate upside. Rather than focusing exclusively on short-term price swings, they continue monitoring adoption trends, institutional participation, and broader liquidity conditions.</w:t>
      </w:r>
    </w:p>
    <w:p w:rsidR="00000000" w:rsidDel="00000000" w:rsidP="00000000" w:rsidRDefault="00000000" w:rsidRPr="00000000" w14:paraId="0000000D">
      <w:pPr>
        <w:spacing w:after="200" w:lineRule="auto"/>
        <w:rPr>
          <w:rFonts w:ascii="Roboto" w:cs="Roboto" w:eastAsia="Roboto" w:hAnsi="Roboto"/>
        </w:rPr>
      </w:pPr>
      <w:r w:rsidDel="00000000" w:rsidR="00000000" w:rsidRPr="00000000">
        <w:rPr>
          <w:rFonts w:ascii="Roboto" w:cs="Roboto" w:eastAsia="Roboto" w:hAnsi="Roboto"/>
          <w:rtl w:val="0"/>
        </w:rPr>
        <w:t xml:space="preserve">Bitcoin remains the market leader, and its ability to maintain support during uncertain economic conditions continues reinforcing confidence among long-term holders.</w:t>
      </w:r>
    </w:p>
    <w:p w:rsidR="00000000" w:rsidDel="00000000" w:rsidP="00000000" w:rsidRDefault="00000000" w:rsidRPr="00000000" w14:paraId="0000000E">
      <w:pPr>
        <w:spacing w:after="200" w:lineRule="auto"/>
        <w:jc w:val="center"/>
        <w:rPr>
          <w:rFonts w:ascii="Roboto" w:cs="Roboto" w:eastAsia="Roboto" w:hAnsi="Roboto"/>
        </w:rPr>
      </w:pPr>
      <w:hyperlink r:id="rId8">
        <w:r w:rsidDel="00000000" w:rsidR="00000000" w:rsidRPr="00000000">
          <w:rPr>
            <w:rFonts w:ascii="Roboto" w:cs="Roboto" w:eastAsia="Roboto" w:hAnsi="Roboto"/>
            <w:color w:val="1155cc"/>
            <w:u w:val="single"/>
          </w:rPr>
          <w:drawing>
            <wp:inline distB="114300" distT="114300" distL="114300" distR="114300">
              <wp:extent cx="5943600" cy="1003300"/>
              <wp:effectExtent b="0" l="0" r="0" t="0"/>
              <wp:docPr id="1" name="image3.png"/>
              <a:graphic>
                <a:graphicData uri="http://schemas.openxmlformats.org/drawingml/2006/picture">
                  <pic:pic>
                    <pic:nvPicPr>
                      <pic:cNvPr id="0" name="image3.png"/>
                      <pic:cNvPicPr preferRelativeResize="0"/>
                    </pic:nvPicPr>
                    <pic:blipFill>
                      <a:blip r:embed="rId9"/>
                      <a:srcRect b="15505" l="0" r="0" t="0"/>
                      <a:stretch>
                        <a:fillRect/>
                      </a:stretch>
                    </pic:blipFill>
                    <pic:spPr>
                      <a:xfrm>
                        <a:off x="0" y="0"/>
                        <a:ext cx="5943600" cy="1003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pStyle w:val="Heading2"/>
        <w:spacing w:after="200" w:lineRule="auto"/>
        <w:rPr>
          <w:rFonts w:ascii="Roboto" w:cs="Roboto" w:eastAsia="Roboto" w:hAnsi="Roboto"/>
        </w:rPr>
      </w:pPr>
      <w:bookmarkStart w:colFirst="0" w:colLast="0" w:name="_dk4qon7jcqiw" w:id="2"/>
      <w:bookmarkEnd w:id="2"/>
      <w:r w:rsidDel="00000000" w:rsidR="00000000" w:rsidRPr="00000000">
        <w:rPr>
          <w:rFonts w:ascii="Roboto" w:cs="Roboto" w:eastAsia="Roboto" w:hAnsi="Roboto"/>
          <w:rtl w:val="0"/>
        </w:rPr>
        <w:t xml:space="preserve">Wall Street Forecasts Remain Positive</w:t>
      </w:r>
    </w:p>
    <w:p w:rsidR="00000000" w:rsidDel="00000000" w:rsidP="00000000" w:rsidRDefault="00000000" w:rsidRPr="00000000" w14:paraId="00000010">
      <w:pPr>
        <w:spacing w:after="200" w:lineRule="auto"/>
        <w:rPr>
          <w:rFonts w:ascii="Roboto" w:cs="Roboto" w:eastAsia="Roboto" w:hAnsi="Roboto"/>
        </w:rPr>
      </w:pPr>
      <w:r w:rsidDel="00000000" w:rsidR="00000000" w:rsidRPr="00000000">
        <w:rPr>
          <w:rFonts w:ascii="Roboto" w:cs="Roboto" w:eastAsia="Roboto" w:hAnsi="Roboto"/>
          <w:rtl w:val="0"/>
        </w:rPr>
        <w:t xml:space="preserve">While technical analysts remain divided regarding short-term direction, longer-term projections remain surprisingly optimistic.</w:t>
      </w:r>
    </w:p>
    <w:p w:rsidR="00000000" w:rsidDel="00000000" w:rsidP="00000000" w:rsidRDefault="00000000" w:rsidRPr="00000000" w14:paraId="00000011">
      <w:pPr>
        <w:spacing w:after="200" w:lineRule="auto"/>
        <w:rPr>
          <w:rFonts w:ascii="Roboto" w:cs="Roboto" w:eastAsia="Roboto" w:hAnsi="Roboto"/>
        </w:rPr>
      </w:pPr>
      <w:r w:rsidDel="00000000" w:rsidR="00000000" w:rsidRPr="00000000">
        <w:rPr>
          <w:rFonts w:ascii="Roboto" w:cs="Roboto" w:eastAsia="Roboto" w:hAnsi="Roboto"/>
          <w:rtl w:val="0"/>
        </w:rPr>
        <w:t xml:space="preserve">Fundstrat continues maintaining one of the most aggressive outlooks in the market. According to research tracked by financial publications, the firm believes Bitcoin could eventually trade between $120,000 and $170,000 once macro tightening eases and global liquidity begins expanding again.</w:t>
      </w:r>
    </w:p>
    <w:p w:rsidR="00000000" w:rsidDel="00000000" w:rsidP="00000000" w:rsidRDefault="00000000" w:rsidRPr="00000000" w14:paraId="00000012">
      <w:pPr>
        <w:spacing w:after="200" w:lineRule="auto"/>
        <w:rPr>
          <w:rFonts w:ascii="Roboto" w:cs="Roboto" w:eastAsia="Roboto" w:hAnsi="Roboto"/>
        </w:rPr>
      </w:pPr>
      <w:r w:rsidDel="00000000" w:rsidR="00000000" w:rsidRPr="00000000">
        <w:rPr>
          <w:rFonts w:ascii="Roboto" w:cs="Roboto" w:eastAsia="Roboto" w:hAnsi="Roboto"/>
          <w:rtl w:val="0"/>
        </w:rPr>
        <w:t xml:space="preserve">These forecasts are not based solely on speculation. They reflect expectations that institutional adoption, ETF growth, and broader acceptance of digital assets will continue accelerating over time.</w:t>
      </w:r>
    </w:p>
    <w:p w:rsidR="00000000" w:rsidDel="00000000" w:rsidP="00000000" w:rsidRDefault="00000000" w:rsidRPr="00000000" w14:paraId="00000013">
      <w:pPr>
        <w:spacing w:after="200" w:lineRule="auto"/>
        <w:rPr>
          <w:rFonts w:ascii="Roboto" w:cs="Roboto" w:eastAsia="Roboto" w:hAnsi="Roboto"/>
        </w:rPr>
      </w:pPr>
      <w:r w:rsidDel="00000000" w:rsidR="00000000" w:rsidRPr="00000000">
        <w:rPr>
          <w:rFonts w:ascii="Roboto" w:cs="Roboto" w:eastAsia="Roboto" w:hAnsi="Roboto"/>
          <w:rtl w:val="0"/>
        </w:rPr>
        <w:t xml:space="preserve">At the same time, caution remains necessary. Some analysts continue warning that macroeconomic credit conditions could create additional volatility before a sustainable expansion begins. CryptoSlate recently highlighted concerns that a broader cyclical bottom may not arrive until October 2026.</w:t>
      </w:r>
    </w:p>
    <w:p w:rsidR="00000000" w:rsidDel="00000000" w:rsidP="00000000" w:rsidRDefault="00000000" w:rsidRPr="00000000" w14:paraId="00000014">
      <w:pPr>
        <w:spacing w:after="200" w:lineRule="auto"/>
        <w:rPr>
          <w:rFonts w:ascii="Roboto" w:cs="Roboto" w:eastAsia="Roboto" w:hAnsi="Roboto"/>
        </w:rPr>
      </w:pPr>
      <w:r w:rsidDel="00000000" w:rsidR="00000000" w:rsidRPr="00000000">
        <w:rPr>
          <w:rFonts w:ascii="Roboto" w:cs="Roboto" w:eastAsia="Roboto" w:hAnsi="Roboto"/>
          <w:rtl w:val="0"/>
        </w:rPr>
        <w:t xml:space="preserve">These contrasting views explain why Bitcoin remains trapped between bullish long-term expectations and cautious short-term positioning.</w:t>
      </w:r>
    </w:p>
    <w:p w:rsidR="00000000" w:rsidDel="00000000" w:rsidP="00000000" w:rsidRDefault="00000000" w:rsidRPr="00000000" w14:paraId="00000015">
      <w:pPr>
        <w:pStyle w:val="Heading2"/>
        <w:spacing w:after="200" w:lineRule="auto"/>
        <w:rPr>
          <w:rFonts w:ascii="Roboto" w:cs="Roboto" w:eastAsia="Roboto" w:hAnsi="Roboto"/>
        </w:rPr>
      </w:pPr>
      <w:bookmarkStart w:colFirst="0" w:colLast="0" w:name="_21dfkghwd55n" w:id="3"/>
      <w:bookmarkEnd w:id="3"/>
      <w:r w:rsidDel="00000000" w:rsidR="00000000" w:rsidRPr="00000000">
        <w:rPr>
          <w:rFonts w:ascii="Roboto" w:cs="Roboto" w:eastAsia="Roboto" w:hAnsi="Roboto"/>
          <w:rtl w:val="0"/>
        </w:rPr>
        <w:t xml:space="preserve">Why Investors Are Exploring MemeToro Alongside Bitcoin</w:t>
      </w:r>
    </w:p>
    <w:p w:rsidR="00000000" w:rsidDel="00000000" w:rsidP="00000000" w:rsidRDefault="00000000" w:rsidRPr="00000000" w14:paraId="00000016">
      <w:pPr>
        <w:spacing w:after="200" w:lineRule="auto"/>
        <w:rPr>
          <w:rFonts w:ascii="Roboto" w:cs="Roboto" w:eastAsia="Roboto" w:hAnsi="Roboto"/>
        </w:rPr>
      </w:pPr>
      <w:r w:rsidDel="00000000" w:rsidR="00000000" w:rsidRPr="00000000">
        <w:rPr>
          <w:rFonts w:ascii="Roboto" w:cs="Roboto" w:eastAsia="Roboto" w:hAnsi="Roboto"/>
          <w:rtl w:val="0"/>
        </w:rPr>
        <w:t xml:space="preserve">Periods of Bitcoin consolidation often encourage investors to research alternative opportunities while waiting for broader market momentum.</w:t>
      </w:r>
    </w:p>
    <w:p w:rsidR="00000000" w:rsidDel="00000000" w:rsidP="00000000" w:rsidRDefault="00000000" w:rsidRPr="00000000" w14:paraId="00000017">
      <w:pPr>
        <w:spacing w:after="200" w:lineRule="auto"/>
        <w:rPr>
          <w:rFonts w:ascii="Roboto" w:cs="Roboto" w:eastAsia="Roboto" w:hAnsi="Roboto"/>
        </w:rPr>
      </w:pPr>
      <w:r w:rsidDel="00000000" w:rsidR="00000000" w:rsidRPr="00000000">
        <w:rPr>
          <w:rFonts w:ascii="Roboto" w:cs="Roboto" w:eastAsia="Roboto" w:hAnsi="Roboto"/>
          <w:rtl w:val="0"/>
        </w:rPr>
        <w:t xml:space="preserve">One project attracting attention is </w:t>
      </w:r>
      <w:hyperlink r:id="rId10">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a BNB Chain ecosystem that combines artificial intelligence with social finance infrastructure. Rather than operating as a traditional memecoin, the platform integrates prediction markets, token creation tools, staking functionality, and automated trend analysis.</w:t>
      </w:r>
    </w:p>
    <w:p w:rsidR="00000000" w:rsidDel="00000000" w:rsidP="00000000" w:rsidRDefault="00000000" w:rsidRPr="00000000" w14:paraId="00000018">
      <w:pPr>
        <w:spacing w:after="200" w:lineRule="auto"/>
        <w:rPr>
          <w:rFonts w:ascii="Roboto" w:cs="Roboto" w:eastAsia="Roboto" w:hAnsi="Roboto"/>
        </w:rPr>
      </w:pPr>
      <w:r w:rsidDel="00000000" w:rsidR="00000000" w:rsidRPr="00000000">
        <w:rPr>
          <w:rFonts w:ascii="Roboto" w:cs="Roboto" w:eastAsia="Roboto" w:hAnsi="Roboto"/>
          <w:rtl w:val="0"/>
        </w:rPr>
        <w:t xml:space="preserve">A major focus of the ecosystem is its autonomous AI agent. The system continuously monitors social media activity, market narratives, and cultural trends to identify emerging opportunities before they become widely recognized.</w:t>
      </w:r>
    </w:p>
    <w:p w:rsidR="00000000" w:rsidDel="00000000" w:rsidP="00000000" w:rsidRDefault="00000000" w:rsidRPr="00000000" w14:paraId="00000019">
      <w:pPr>
        <w:spacing w:after="200" w:lineRule="auto"/>
        <w:rPr>
          <w:rFonts w:ascii="Roboto" w:cs="Roboto" w:eastAsia="Roboto" w:hAnsi="Roboto"/>
        </w:rPr>
      </w:pPr>
      <w:r w:rsidDel="00000000" w:rsidR="00000000" w:rsidRPr="00000000">
        <w:rPr>
          <w:rFonts w:ascii="Roboto" w:cs="Roboto" w:eastAsia="Roboto" w:hAnsi="Roboto"/>
          <w:rtl w:val="0"/>
        </w:rPr>
        <w:t xml:space="preserve">The project has also expanded beyond its original launch model through the introduction of a dedicated Layer-1 roadmap. This development has helped position the ecosystem within broader discussions surrounding AI-driven blockchain infrastructure.</w:t>
      </w:r>
    </w:p>
    <w:p w:rsidR="00000000" w:rsidDel="00000000" w:rsidP="00000000" w:rsidRDefault="00000000" w:rsidRPr="00000000" w14:paraId="0000001A">
      <w:pPr>
        <w:spacing w:after="200" w:lineRule="auto"/>
        <w:rPr>
          <w:rFonts w:ascii="Roboto" w:cs="Roboto" w:eastAsia="Roboto" w:hAnsi="Roboto"/>
        </w:rPr>
      </w:pPr>
      <w:r w:rsidDel="00000000" w:rsidR="00000000" w:rsidRPr="00000000">
        <w:rPr>
          <w:rFonts w:ascii="Roboto" w:cs="Roboto" w:eastAsia="Roboto" w:hAnsi="Roboto"/>
          <w:rtl w:val="0"/>
        </w:rPr>
        <w:t xml:space="preserve">As investors prepare for potential market expansion, projects connected to artificial intelligence and community participation continue appearing alongside larger assets on investor watchlists.</w:t>
      </w:r>
    </w:p>
    <w:p w:rsidR="00000000" w:rsidDel="00000000" w:rsidP="00000000" w:rsidRDefault="00000000" w:rsidRPr="00000000" w14:paraId="0000001B">
      <w:pPr>
        <w:pStyle w:val="Heading2"/>
        <w:spacing w:after="200" w:lineRule="auto"/>
        <w:rPr>
          <w:rFonts w:ascii="Roboto" w:cs="Roboto" w:eastAsia="Roboto" w:hAnsi="Roboto"/>
        </w:rPr>
      </w:pPr>
      <w:bookmarkStart w:colFirst="0" w:colLast="0" w:name="_qis936rvtwo2" w:id="4"/>
      <w:bookmarkEnd w:id="4"/>
      <w:r w:rsidDel="00000000" w:rsidR="00000000" w:rsidRPr="00000000">
        <w:rPr>
          <w:rFonts w:ascii="Roboto" w:cs="Roboto" w:eastAsia="Roboto" w:hAnsi="Roboto"/>
          <w:rtl w:val="0"/>
        </w:rPr>
        <w:t xml:space="preserve">What MemeToro Actually Brings to the Meme Economy</w:t>
      </w:r>
    </w:p>
    <w:p w:rsidR="00000000" w:rsidDel="00000000" w:rsidP="00000000" w:rsidRDefault="00000000" w:rsidRPr="00000000" w14:paraId="0000001C">
      <w:pPr>
        <w:spacing w:after="200" w:lineRule="auto"/>
        <w:rPr>
          <w:rFonts w:ascii="Roboto" w:cs="Roboto" w:eastAsia="Roboto" w:hAnsi="Roboto"/>
        </w:rPr>
      </w:pPr>
      <w:hyperlink r:id="rId11">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is a social finance (SocialFi) ecosystem on the BNB Chain that adds real structural utility to the meme economy. The visual identity carries a cultural resonance that nods directly to legendary tokens like PEPE.</w:t>
      </w:r>
    </w:p>
    <w:p w:rsidR="00000000" w:rsidDel="00000000" w:rsidP="00000000" w:rsidRDefault="00000000" w:rsidRPr="00000000" w14:paraId="0000001D">
      <w:pPr>
        <w:spacing w:after="200" w:lineRule="auto"/>
        <w:rPr>
          <w:rFonts w:ascii="Roboto" w:cs="Roboto" w:eastAsia="Roboto" w:hAnsi="Roboto"/>
        </w:rPr>
      </w:pPr>
      <w:r w:rsidDel="00000000" w:rsidR="00000000" w:rsidRPr="00000000">
        <w:rPr>
          <w:rFonts w:ascii="Roboto" w:cs="Roboto" w:eastAsia="Roboto" w:hAnsi="Roboto"/>
          <w:rtl w:val="0"/>
        </w:rPr>
        <w:t xml:space="preserve">The MemeToro AI Agent sits at the heart of the platform. It's the world's first autonomous memecoin creator, engineered to scan real-time social trends, cultural moments, and global news. </w:t>
      </w:r>
    </w:p>
    <w:p w:rsidR="00000000" w:rsidDel="00000000" w:rsidP="00000000" w:rsidRDefault="00000000" w:rsidRPr="00000000" w14:paraId="0000001E">
      <w:pPr>
        <w:spacing w:after="200" w:lineRule="auto"/>
        <w:rPr>
          <w:rFonts w:ascii="Roboto" w:cs="Roboto" w:eastAsia="Roboto" w:hAnsi="Roboto"/>
        </w:rPr>
      </w:pPr>
      <w:r w:rsidDel="00000000" w:rsidR="00000000" w:rsidRPr="00000000">
        <w:rPr>
          <w:rFonts w:ascii="Roboto" w:cs="Roboto" w:eastAsia="Roboto" w:hAnsi="Roboto"/>
          <w:rtl w:val="0"/>
        </w:rPr>
        <w:t xml:space="preserve">The agent spots viral potential before it peaks. Non-technical users can create and trade memecoins through this autonomous pipeline. Every bonded memecoin then lists automatically on PancakeSwap, backed by BNB liquidity for protection.</w:t>
      </w:r>
    </w:p>
    <w:p w:rsidR="00000000" w:rsidDel="00000000" w:rsidP="00000000" w:rsidRDefault="00000000" w:rsidRPr="00000000" w14:paraId="0000001F">
      <w:pPr>
        <w:spacing w:after="200" w:lineRule="auto"/>
        <w:rPr>
          <w:rFonts w:ascii="Roboto" w:cs="Roboto" w:eastAsia="Roboto" w:hAnsi="Roboto"/>
        </w:rPr>
      </w:pPr>
      <w:hyperlink r:id="rId12">
        <w:r w:rsidDel="00000000" w:rsidR="00000000" w:rsidRPr="00000000">
          <w:rPr>
            <w:rFonts w:ascii="Roboto" w:cs="Roboto" w:eastAsia="Roboto" w:hAnsi="Roboto"/>
            <w:color w:val="1155cc"/>
            <w:u w:val="single"/>
          </w:rPr>
          <w:drawing>
            <wp:inline distB="114300" distT="114300" distL="114300" distR="114300">
              <wp:extent cx="5943600" cy="32004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3200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0">
      <w:pPr>
        <w:spacing w:after="200" w:lineRule="auto"/>
        <w:rPr>
          <w:rFonts w:ascii="Roboto" w:cs="Roboto" w:eastAsia="Roboto" w:hAnsi="Roboto"/>
        </w:rPr>
      </w:pPr>
      <w:r w:rsidDel="00000000" w:rsidR="00000000" w:rsidRPr="00000000">
        <w:rPr>
          <w:rFonts w:ascii="Roboto" w:cs="Roboto" w:eastAsia="Roboto" w:hAnsi="Roboto"/>
          <w:rtl w:val="0"/>
        </w:rPr>
        <w:t xml:space="preserve">The $MT token fuels the wider ecosystem. Users access a centralized news portal, stake tokens to back platform liquidity, and use $MT alongside BNB rewards to participate in peer-to-peer prediction markets. </w:t>
      </w:r>
    </w:p>
    <w:p w:rsidR="00000000" w:rsidDel="00000000" w:rsidP="00000000" w:rsidRDefault="00000000" w:rsidRPr="00000000" w14:paraId="00000021">
      <w:pPr>
        <w:spacing w:after="200" w:lineRule="auto"/>
        <w:rPr>
          <w:rFonts w:ascii="Roboto" w:cs="Roboto" w:eastAsia="Roboto" w:hAnsi="Roboto"/>
        </w:rPr>
      </w:pPr>
      <w:r w:rsidDel="00000000" w:rsidR="00000000" w:rsidRPr="00000000">
        <w:rPr>
          <w:rFonts w:ascii="Roboto" w:cs="Roboto" w:eastAsia="Roboto" w:hAnsi="Roboto"/>
          <w:rtl w:val="0"/>
        </w:rPr>
        <w:t xml:space="preserve">Earning happens in $MT and $BNB while users find safe, verified memecoin launches protected by advanced Web3 technologies. Each piece is building toward </w:t>
      </w:r>
      <w:hyperlink r:id="rId14">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eventual move onto its own dedicated blockchain.</w:t>
      </w:r>
    </w:p>
    <w:p w:rsidR="00000000" w:rsidDel="00000000" w:rsidP="00000000" w:rsidRDefault="00000000" w:rsidRPr="00000000" w14:paraId="00000022">
      <w:pPr>
        <w:spacing w:after="20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More Information on MemeToro ($MT) Presale Here:</w:t>
      </w:r>
    </w:p>
    <w:p w:rsidR="00000000" w:rsidDel="00000000" w:rsidP="00000000" w:rsidRDefault="00000000" w:rsidRPr="00000000" w14:paraId="00000023">
      <w:pPr>
        <w:spacing w:after="200" w:lineRule="auto"/>
        <w:rPr>
          <w:rFonts w:ascii="Roboto" w:cs="Roboto" w:eastAsia="Roboto" w:hAnsi="Roboto"/>
        </w:rPr>
      </w:pPr>
      <w:r w:rsidDel="00000000" w:rsidR="00000000" w:rsidRPr="00000000">
        <w:rPr>
          <w:rFonts w:ascii="Roboto" w:cs="Roboto" w:eastAsia="Roboto" w:hAnsi="Roboto"/>
          <w:rtl w:val="0"/>
        </w:rPr>
        <w:t xml:space="preserve">Website: </w:t>
      </w:r>
      <w:hyperlink r:id="rId15">
        <w:r w:rsidDel="00000000" w:rsidR="00000000" w:rsidRPr="00000000">
          <w:rPr>
            <w:rFonts w:ascii="Roboto" w:cs="Roboto" w:eastAsia="Roboto" w:hAnsi="Roboto"/>
            <w:color w:val="1155cc"/>
            <w:u w:val="single"/>
            <w:rtl w:val="0"/>
          </w:rPr>
          <w:t xml:space="preserve">https://memetoro.com/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4">
      <w:pPr>
        <w:spacing w:after="200" w:lineRule="auto"/>
        <w:rPr>
          <w:rFonts w:ascii="Roboto" w:cs="Roboto" w:eastAsia="Roboto" w:hAnsi="Roboto"/>
        </w:rPr>
      </w:pPr>
      <w:r w:rsidDel="00000000" w:rsidR="00000000" w:rsidRPr="00000000">
        <w:rPr>
          <w:rFonts w:ascii="Roboto" w:cs="Roboto" w:eastAsia="Roboto" w:hAnsi="Roboto"/>
          <w:rtl w:val="0"/>
        </w:rPr>
        <w:t xml:space="preserve">X: </w:t>
      </w:r>
      <w:hyperlink r:id="rId16">
        <w:r w:rsidDel="00000000" w:rsidR="00000000" w:rsidRPr="00000000">
          <w:rPr>
            <w:rFonts w:ascii="Roboto" w:cs="Roboto" w:eastAsia="Roboto" w:hAnsi="Roboto"/>
            <w:color w:val="1155cc"/>
            <w:u w:val="single"/>
            <w:rtl w:val="0"/>
          </w:rPr>
          <w:t xml:space="preserve">https://x.com/memetoro_mt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5">
      <w:pPr>
        <w:spacing w:after="200" w:lineRule="auto"/>
        <w:rPr>
          <w:rFonts w:ascii="Roboto" w:cs="Roboto" w:eastAsia="Roboto" w:hAnsi="Roboto"/>
        </w:rPr>
      </w:pPr>
      <w:r w:rsidDel="00000000" w:rsidR="00000000" w:rsidRPr="00000000">
        <w:rPr>
          <w:rFonts w:ascii="Roboto" w:cs="Roboto" w:eastAsia="Roboto" w:hAnsi="Roboto"/>
          <w:rtl w:val="0"/>
        </w:rPr>
        <w:t xml:space="preserve">Telegram: </w:t>
      </w:r>
      <w:hyperlink r:id="rId17">
        <w:r w:rsidDel="00000000" w:rsidR="00000000" w:rsidRPr="00000000">
          <w:rPr>
            <w:rFonts w:ascii="Roboto" w:cs="Roboto" w:eastAsia="Roboto" w:hAnsi="Roboto"/>
            <w:color w:val="1155cc"/>
            <w:u w:val="single"/>
            <w:rtl w:val="0"/>
          </w:rPr>
          <w:t xml:space="preserve">https://t.me/memetoro_mt</w:t>
        </w:r>
      </w:hyperlink>
      <w:r w:rsidDel="00000000" w:rsidR="00000000" w:rsidRPr="00000000">
        <w:rPr>
          <w:rFonts w:ascii="Roboto" w:cs="Roboto" w:eastAsia="Roboto" w:hAnsi="Roboto"/>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emetoro.com/" TargetMode="External"/><Relationship Id="rId10" Type="http://schemas.openxmlformats.org/officeDocument/2006/relationships/hyperlink" Target="https://memetoro.com/" TargetMode="External"/><Relationship Id="rId13" Type="http://schemas.openxmlformats.org/officeDocument/2006/relationships/image" Target="media/image1.png"/><Relationship Id="rId12" Type="http://schemas.openxmlformats.org/officeDocument/2006/relationships/hyperlink" Target="http://memetor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memetoro.com/" TargetMode="External"/><Relationship Id="rId14" Type="http://schemas.openxmlformats.org/officeDocument/2006/relationships/hyperlink" Target="https://memetoro.com/" TargetMode="External"/><Relationship Id="rId17" Type="http://schemas.openxmlformats.org/officeDocument/2006/relationships/hyperlink" Target="https://t.me/memetoro_mt" TargetMode="External"/><Relationship Id="rId16" Type="http://schemas.openxmlformats.org/officeDocument/2006/relationships/hyperlink" Target="https://x.com/memetoro_m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memetoro.com/" TargetMode="External"/><Relationship Id="rId8" Type="http://schemas.openxmlformats.org/officeDocument/2006/relationships/hyperlink" Target="https://memeto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