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rFonts w:ascii="Roboto" w:cs="Roboto" w:eastAsia="Roboto" w:hAnsi="Roboto"/>
        </w:rPr>
      </w:pPr>
      <w:bookmarkStart w:colFirst="0" w:colLast="0" w:name="_2sjlfx2m6npz" w:id="0"/>
      <w:bookmarkEnd w:id="0"/>
      <w:r w:rsidDel="00000000" w:rsidR="00000000" w:rsidRPr="00000000">
        <w:rPr>
          <w:rFonts w:ascii="Roboto" w:cs="Roboto" w:eastAsia="Roboto" w:hAnsi="Roboto"/>
          <w:rtl w:val="0"/>
        </w:rPr>
        <w:t xml:space="preserve">Bitcoin Price Prediction: Can BTC Lead the Next Market Rally?</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b w:val="1"/>
          <w:bCs w:val="1"/>
          <w:rtl w:val="0"/>
        </w:rPr>
        <w:t xml:space="preserve">Meta Description:</w:t>
      </w:r>
      <w:r w:rsidDel="00000000" w:rsidR="00000000" w:rsidRPr="00000000">
        <w:rPr>
          <w:rFonts w:ascii="Roboto" w:cs="Roboto" w:eastAsia="Roboto" w:hAnsi="Roboto"/>
          <w:rtl w:val="0"/>
        </w:rPr>
        <w:t xml:space="preserve"> Bitcoin remains in consolidation, but institutional demand and long-term forecasts continue supporting the case for a future rally.</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drawing>
          <wp:inline distB="114300" distT="114300" distL="114300" distR="114300">
            <wp:extent cx="5943600" cy="39751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Roboto" w:cs="Roboto" w:eastAsia="Roboto" w:hAnsi="Roboto"/>
        </w:rPr>
      </w:pPr>
      <w:r w:rsidDel="00000000" w:rsidR="00000000" w:rsidRPr="00000000">
        <w:rPr>
          <w:rFonts w:ascii="Roboto" w:cs="Roboto" w:eastAsia="Roboto" w:hAnsi="Roboto"/>
          <w:rtl w:val="0"/>
        </w:rPr>
        <w:t xml:space="preserve">Bitcoin continues to sit at the center of the cryptocurrency market as investors debate when the next major rally could begin. As of June 18, 2026, the asset is trading near $64,850 while remaining trapped inside a broad consolidation range between $63,727 and $67,220. </w:t>
      </w:r>
    </w:p>
    <w:p w:rsidR="00000000" w:rsidDel="00000000" w:rsidP="00000000" w:rsidRDefault="00000000" w:rsidRPr="00000000" w14:paraId="00000005">
      <w:pPr>
        <w:spacing w:after="200" w:lineRule="auto"/>
        <w:rPr>
          <w:rFonts w:ascii="Roboto" w:cs="Roboto" w:eastAsia="Roboto" w:hAnsi="Roboto"/>
        </w:rPr>
      </w:pPr>
      <w:r w:rsidDel="00000000" w:rsidR="00000000" w:rsidRPr="00000000">
        <w:rPr>
          <w:rFonts w:ascii="Roboto" w:cs="Roboto" w:eastAsia="Roboto" w:hAnsi="Roboto"/>
          <w:rtl w:val="0"/>
        </w:rPr>
        <w:t xml:space="preserve">Although short-term momentum remains limited, many analysts believe Bitcoin's current behavior resembles previous accumulation phases that eventually preceded significant market expansions.</w:t>
      </w:r>
    </w:p>
    <w:p w:rsidR="00000000" w:rsidDel="00000000" w:rsidP="00000000" w:rsidRDefault="00000000" w:rsidRPr="00000000" w14:paraId="00000006">
      <w:pPr>
        <w:spacing w:after="200" w:lineRule="auto"/>
        <w:rPr>
          <w:rFonts w:ascii="Roboto" w:cs="Roboto" w:eastAsia="Roboto" w:hAnsi="Roboto"/>
        </w:rPr>
      </w:pPr>
      <w:r w:rsidDel="00000000" w:rsidR="00000000" w:rsidRPr="00000000">
        <w:rPr>
          <w:rFonts w:ascii="Roboto" w:cs="Roboto" w:eastAsia="Roboto" w:hAnsi="Roboto"/>
          <w:rtl w:val="0"/>
        </w:rPr>
        <w:t xml:space="preserve">The broader digital asset market is also watching Bitcoin closely because its direction often influences liquidity across altcoins. </w:t>
      </w:r>
    </w:p>
    <w:p w:rsidR="00000000" w:rsidDel="00000000" w:rsidP="00000000" w:rsidRDefault="00000000" w:rsidRPr="00000000" w14:paraId="00000007">
      <w:pPr>
        <w:spacing w:after="200" w:lineRule="auto"/>
        <w:rPr>
          <w:rFonts w:ascii="Roboto" w:cs="Roboto" w:eastAsia="Roboto" w:hAnsi="Roboto"/>
        </w:rPr>
      </w:pPr>
      <w:r w:rsidDel="00000000" w:rsidR="00000000" w:rsidRPr="00000000">
        <w:rPr>
          <w:rFonts w:ascii="Roboto" w:cs="Roboto" w:eastAsia="Roboto" w:hAnsi="Roboto"/>
          <w:rtl w:val="0"/>
        </w:rPr>
        <w:t xml:space="preserve">Historically, Bitcoin tends to lead major market rallies before capital gradually rotates into </w:t>
      </w:r>
      <w:hyperlink r:id="rId7">
        <w:r w:rsidDel="00000000" w:rsidR="00000000" w:rsidRPr="00000000">
          <w:rPr>
            <w:rFonts w:ascii="Roboto" w:cs="Roboto" w:eastAsia="Roboto" w:hAnsi="Roboto"/>
            <w:color w:val="1155cc"/>
            <w:u w:val="single"/>
            <w:rtl w:val="0"/>
          </w:rPr>
          <w:t xml:space="preserve">alternative cryptocurrencies</w:t>
        </w:r>
      </w:hyperlink>
      <w:r w:rsidDel="00000000" w:rsidR="00000000" w:rsidRPr="00000000">
        <w:rPr>
          <w:rFonts w:ascii="Roboto" w:cs="Roboto" w:eastAsia="Roboto" w:hAnsi="Roboto"/>
          <w:rtl w:val="0"/>
        </w:rPr>
        <w:t xml:space="preserve"> . This relationship has prompted investors to monitor both Bitcoin's technical structure and the growing institutional activity supporting the asset.</w:t>
      </w:r>
    </w:p>
    <w:p w:rsidR="00000000" w:rsidDel="00000000" w:rsidP="00000000" w:rsidRDefault="00000000" w:rsidRPr="00000000" w14:paraId="00000008">
      <w:pPr>
        <w:spacing w:after="200" w:lineRule="auto"/>
        <w:rPr>
          <w:rFonts w:ascii="Roboto" w:cs="Roboto" w:eastAsia="Roboto" w:hAnsi="Roboto"/>
        </w:rPr>
      </w:pPr>
      <w:r w:rsidDel="00000000" w:rsidR="00000000" w:rsidRPr="00000000">
        <w:rPr>
          <w:rFonts w:ascii="Roboto" w:cs="Roboto" w:eastAsia="Roboto" w:hAnsi="Roboto"/>
          <w:rtl w:val="0"/>
        </w:rPr>
        <w:t xml:space="preserve">While opinions remain divided regarding the timing of the next move, Bitcoin continues benefiting from several long-term catalysts that could influence market performance throughout the remainder of 2026.</w:t>
      </w:r>
    </w:p>
    <w:p w:rsidR="00000000" w:rsidDel="00000000" w:rsidP="00000000" w:rsidRDefault="00000000" w:rsidRPr="00000000" w14:paraId="00000009">
      <w:pPr>
        <w:spacing w:after="200" w:lineRule="auto"/>
        <w:jc w:val="center"/>
        <w:rPr>
          <w:rFonts w:ascii="Roboto" w:cs="Roboto" w:eastAsia="Roboto" w:hAnsi="Roboto"/>
        </w:rPr>
      </w:pPr>
      <w:hyperlink r:id="rId8">
        <w:r w:rsidDel="00000000" w:rsidR="00000000" w:rsidRPr="00000000">
          <w:rPr>
            <w:rFonts w:ascii="Roboto" w:cs="Roboto" w:eastAsia="Roboto" w:hAnsi="Roboto"/>
            <w:color w:val="1155cc"/>
            <w:u w:val="single"/>
          </w:rPr>
          <w:drawing>
            <wp:inline distB="114300" distT="114300" distL="114300" distR="114300">
              <wp:extent cx="5943600" cy="939800"/>
              <wp:effectExtent b="0" l="0" r="0" t="0"/>
              <wp:docPr id="1" name="image3.png"/>
              <a:graphic>
                <a:graphicData uri="http://schemas.openxmlformats.org/drawingml/2006/picture">
                  <pic:pic>
                    <pic:nvPicPr>
                      <pic:cNvPr id="0" name="image3.png"/>
                      <pic:cNvPicPr preferRelativeResize="0"/>
                    </pic:nvPicPr>
                    <pic:blipFill>
                      <a:blip r:embed="rId9"/>
                      <a:srcRect b="11489" l="0" r="0" t="9510"/>
                      <a:stretch>
                        <a:fillRect/>
                      </a:stretch>
                    </pic:blipFill>
                    <pic:spPr>
                      <a:xfrm>
                        <a:off x="0" y="0"/>
                        <a:ext cx="5943600" cy="939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pStyle w:val="Heading2"/>
        <w:spacing w:after="200" w:lineRule="auto"/>
        <w:rPr>
          <w:rFonts w:ascii="Roboto" w:cs="Roboto" w:eastAsia="Roboto" w:hAnsi="Roboto"/>
        </w:rPr>
      </w:pPr>
      <w:bookmarkStart w:colFirst="0" w:colLast="0" w:name="_es8es5g2simm" w:id="1"/>
      <w:bookmarkEnd w:id="1"/>
      <w:r w:rsidDel="00000000" w:rsidR="00000000" w:rsidRPr="00000000">
        <w:rPr>
          <w:rFonts w:ascii="Roboto" w:cs="Roboto" w:eastAsia="Roboto" w:hAnsi="Roboto"/>
          <w:rtl w:val="0"/>
        </w:rPr>
        <w:t xml:space="preserve">Bitcoin Continues Building Support During Consolidation</w:t>
      </w:r>
    </w:p>
    <w:p w:rsidR="00000000" w:rsidDel="00000000" w:rsidP="00000000" w:rsidRDefault="00000000" w:rsidRPr="00000000" w14:paraId="0000000B">
      <w:pPr>
        <w:spacing w:after="200" w:lineRule="auto"/>
        <w:rPr>
          <w:rFonts w:ascii="Roboto" w:cs="Roboto" w:eastAsia="Roboto" w:hAnsi="Roboto"/>
        </w:rPr>
      </w:pPr>
      <w:r w:rsidDel="00000000" w:rsidR="00000000" w:rsidRPr="00000000">
        <w:rPr>
          <w:rFonts w:ascii="Roboto" w:cs="Roboto" w:eastAsia="Roboto" w:hAnsi="Roboto"/>
          <w:rtl w:val="0"/>
        </w:rPr>
        <w:t xml:space="preserve">Consolidation periods are often frustrating for traders because price action appears relatively stagnant. However, these phases frequently play an important role in establishing stronger support levels before larger directional moves occur.</w:t>
      </w:r>
    </w:p>
    <w:p w:rsidR="00000000" w:rsidDel="00000000" w:rsidP="00000000" w:rsidRDefault="00000000" w:rsidRPr="00000000" w14:paraId="0000000C">
      <w:pPr>
        <w:spacing w:after="200" w:lineRule="auto"/>
        <w:rPr>
          <w:rFonts w:ascii="Roboto" w:cs="Roboto" w:eastAsia="Roboto" w:hAnsi="Roboto"/>
        </w:rPr>
      </w:pPr>
      <w:r w:rsidDel="00000000" w:rsidR="00000000" w:rsidRPr="00000000">
        <w:rPr>
          <w:rFonts w:ascii="Roboto" w:cs="Roboto" w:eastAsia="Roboto" w:hAnsi="Roboto"/>
          <w:rtl w:val="0"/>
        </w:rPr>
        <w:t xml:space="preserve">According to market analysts, Bitcoin remains firmly within a horizontal distribution channel while defending important support near the lower end of its current range. The asset has repeatedly attracted buyers around these levels, helping prevent deeper downside pressure despite macroeconomic uncertainty.</w:t>
      </w:r>
    </w:p>
    <w:p w:rsidR="00000000" w:rsidDel="00000000" w:rsidP="00000000" w:rsidRDefault="00000000" w:rsidRPr="00000000" w14:paraId="0000000D">
      <w:pPr>
        <w:spacing w:after="200" w:lineRule="auto"/>
        <w:rPr>
          <w:rFonts w:ascii="Roboto" w:cs="Roboto" w:eastAsia="Roboto" w:hAnsi="Roboto"/>
        </w:rPr>
      </w:pPr>
      <w:r w:rsidDel="00000000" w:rsidR="00000000" w:rsidRPr="00000000">
        <w:rPr>
          <w:rFonts w:ascii="Roboto" w:cs="Roboto" w:eastAsia="Roboto" w:hAnsi="Roboto"/>
          <w:rtl w:val="0"/>
        </w:rPr>
        <w:t xml:space="preserve">Many investors are focused on Bitcoin's ability to eventually reclaim higher resistance zones. Analysts continue monitoring the $76,800 area as an important psychological milestone that could signal improving momentum if successfully breached.</w:t>
      </w:r>
    </w:p>
    <w:p w:rsidR="00000000" w:rsidDel="00000000" w:rsidP="00000000" w:rsidRDefault="00000000" w:rsidRPr="00000000" w14:paraId="0000000E">
      <w:pPr>
        <w:spacing w:after="200" w:lineRule="auto"/>
        <w:rPr>
          <w:rFonts w:ascii="Roboto" w:cs="Roboto" w:eastAsia="Roboto" w:hAnsi="Roboto"/>
        </w:rPr>
      </w:pPr>
      <w:r w:rsidDel="00000000" w:rsidR="00000000" w:rsidRPr="00000000">
        <w:rPr>
          <w:rFonts w:ascii="Roboto" w:cs="Roboto" w:eastAsia="Roboto" w:hAnsi="Roboto"/>
          <w:rtl w:val="0"/>
        </w:rPr>
        <w:t xml:space="preserve">At the same time, caution remains necessary. Several technical experts continue warning that broader credit conditions and macroeconomic constraints could still create volatility later in the year. These concerns help explain why Bitcoin remains range-bound despite strong long-term adoption trends.</w:t>
      </w:r>
    </w:p>
    <w:p w:rsidR="00000000" w:rsidDel="00000000" w:rsidP="00000000" w:rsidRDefault="00000000" w:rsidRPr="00000000" w14:paraId="0000000F">
      <w:pPr>
        <w:spacing w:after="200" w:lineRule="auto"/>
        <w:rPr>
          <w:rFonts w:ascii="Roboto" w:cs="Roboto" w:eastAsia="Roboto" w:hAnsi="Roboto"/>
        </w:rPr>
      </w:pPr>
      <w:r w:rsidDel="00000000" w:rsidR="00000000" w:rsidRPr="00000000">
        <w:rPr>
          <w:rFonts w:ascii="Roboto" w:cs="Roboto" w:eastAsia="Roboto" w:hAnsi="Roboto"/>
          <w:rtl w:val="0"/>
        </w:rPr>
        <w:t xml:space="preserve">For now, the market appears to be waiting for a catalyst capable of breaking the current equilibrium.</w:t>
      </w:r>
    </w:p>
    <w:p w:rsidR="00000000" w:rsidDel="00000000" w:rsidP="00000000" w:rsidRDefault="00000000" w:rsidRPr="00000000" w14:paraId="00000010">
      <w:pPr>
        <w:pStyle w:val="Heading2"/>
        <w:spacing w:after="200" w:lineRule="auto"/>
        <w:rPr>
          <w:rFonts w:ascii="Roboto" w:cs="Roboto" w:eastAsia="Roboto" w:hAnsi="Roboto"/>
        </w:rPr>
      </w:pPr>
      <w:bookmarkStart w:colFirst="0" w:colLast="0" w:name="_fa5hbjmlb6kg" w:id="2"/>
      <w:bookmarkEnd w:id="2"/>
      <w:r w:rsidDel="00000000" w:rsidR="00000000" w:rsidRPr="00000000">
        <w:rPr>
          <w:rFonts w:ascii="Roboto" w:cs="Roboto" w:eastAsia="Roboto" w:hAnsi="Roboto"/>
          <w:rtl w:val="0"/>
        </w:rPr>
        <w:t xml:space="preserve">Institutional Demand Continues Supporting the Long-Term Outlook</w:t>
      </w:r>
    </w:p>
    <w:p w:rsidR="00000000" w:rsidDel="00000000" w:rsidP="00000000" w:rsidRDefault="00000000" w:rsidRPr="00000000" w14:paraId="00000011">
      <w:pPr>
        <w:spacing w:after="200" w:lineRule="auto"/>
        <w:rPr>
          <w:rFonts w:ascii="Roboto" w:cs="Roboto" w:eastAsia="Roboto" w:hAnsi="Roboto"/>
        </w:rPr>
      </w:pPr>
      <w:r w:rsidDel="00000000" w:rsidR="00000000" w:rsidRPr="00000000">
        <w:rPr>
          <w:rFonts w:ascii="Roboto" w:cs="Roboto" w:eastAsia="Roboto" w:hAnsi="Roboto"/>
          <w:rtl w:val="0"/>
        </w:rPr>
        <w:t xml:space="preserve">One of the strongest arguments supporting Bitcoin's future growth remains institutional adoption.</w:t>
      </w:r>
    </w:p>
    <w:p w:rsidR="00000000" w:rsidDel="00000000" w:rsidP="00000000" w:rsidRDefault="00000000" w:rsidRPr="00000000" w14:paraId="00000012">
      <w:pPr>
        <w:spacing w:after="200" w:lineRule="auto"/>
        <w:rPr>
          <w:rFonts w:ascii="Roboto" w:cs="Roboto" w:eastAsia="Roboto" w:hAnsi="Roboto"/>
        </w:rPr>
      </w:pPr>
      <w:r w:rsidDel="00000000" w:rsidR="00000000" w:rsidRPr="00000000">
        <w:rPr>
          <w:rFonts w:ascii="Roboto" w:cs="Roboto" w:eastAsia="Roboto" w:hAnsi="Roboto"/>
          <w:rtl w:val="0"/>
        </w:rPr>
        <w:t xml:space="preserve">Recent developments continue reinforcing the idea that digital assets are becoming increasingly integrated into traditional financial markets. The approval of diversified crypto ETFs has created new pathways for institutional capital to enter the sector while reducing dependence on individual products focused solely on Bitcoin.</w:t>
      </w:r>
    </w:p>
    <w:p w:rsidR="00000000" w:rsidDel="00000000" w:rsidP="00000000" w:rsidRDefault="00000000" w:rsidRPr="00000000" w14:paraId="00000013">
      <w:pPr>
        <w:pStyle w:val="Heading2"/>
        <w:spacing w:after="200" w:lineRule="auto"/>
        <w:rPr>
          <w:rFonts w:ascii="Roboto" w:cs="Roboto" w:eastAsia="Roboto" w:hAnsi="Roboto"/>
        </w:rPr>
      </w:pPr>
      <w:bookmarkStart w:colFirst="0" w:colLast="0" w:name="_u7unhc2x844h" w:id="3"/>
      <w:bookmarkEnd w:id="3"/>
      <w:r w:rsidDel="00000000" w:rsidR="00000000" w:rsidRPr="00000000">
        <w:rPr>
          <w:rFonts w:ascii="Roboto" w:cs="Roboto" w:eastAsia="Roboto" w:hAnsi="Roboto"/>
          <w:rtl w:val="0"/>
        </w:rPr>
        <w:t xml:space="preserve">Why Some Investors Are Watching MemeToro Alongside Bitcoin</w:t>
      </w:r>
    </w:p>
    <w:p w:rsidR="00000000" w:rsidDel="00000000" w:rsidP="00000000" w:rsidRDefault="00000000" w:rsidRPr="00000000" w14:paraId="00000014">
      <w:pPr>
        <w:spacing w:after="200" w:lineRule="auto"/>
        <w:rPr>
          <w:rFonts w:ascii="Roboto" w:cs="Roboto" w:eastAsia="Roboto" w:hAnsi="Roboto"/>
        </w:rPr>
      </w:pPr>
      <w:r w:rsidDel="00000000" w:rsidR="00000000" w:rsidRPr="00000000">
        <w:rPr>
          <w:rFonts w:ascii="Roboto" w:cs="Roboto" w:eastAsia="Roboto" w:hAnsi="Roboto"/>
          <w:rtl w:val="0"/>
        </w:rPr>
        <w:t xml:space="preserve">While Bitcoin remains the market leader, many investors are also exploring projects connected to emerging narratives that could benefit from future liquidity expansion.</w:t>
      </w:r>
    </w:p>
    <w:p w:rsidR="00000000" w:rsidDel="00000000" w:rsidP="00000000" w:rsidRDefault="00000000" w:rsidRPr="00000000" w14:paraId="00000015">
      <w:pPr>
        <w:spacing w:after="200" w:lineRule="auto"/>
        <w:rPr>
          <w:rFonts w:ascii="Roboto" w:cs="Roboto" w:eastAsia="Roboto" w:hAnsi="Roboto"/>
        </w:rPr>
      </w:pPr>
      <w:r w:rsidDel="00000000" w:rsidR="00000000" w:rsidRPr="00000000">
        <w:rPr>
          <w:rFonts w:ascii="Roboto" w:cs="Roboto" w:eastAsia="Roboto" w:hAnsi="Roboto"/>
          <w:rtl w:val="0"/>
        </w:rPr>
        <w:t xml:space="preserve">One project gaining visibility is MemeToro, a BNB Chain ecosystem combining artificial intelligence, memecoin creation infrastructure, staking products, and prediction markets. Rather than competing directly with Bitcoin, the platform targets users interested in AI-powered discovery tools and community-driven participation.</w:t>
      </w:r>
    </w:p>
    <w:p w:rsidR="00000000" w:rsidDel="00000000" w:rsidP="00000000" w:rsidRDefault="00000000" w:rsidRPr="00000000" w14:paraId="00000016">
      <w:pPr>
        <w:spacing w:after="200" w:lineRule="auto"/>
        <w:rPr>
          <w:rFonts w:ascii="Roboto" w:cs="Roboto" w:eastAsia="Roboto" w:hAnsi="Roboto"/>
        </w:rPr>
      </w:pPr>
      <w:r w:rsidDel="00000000" w:rsidR="00000000" w:rsidRPr="00000000">
        <w:rPr>
          <w:rFonts w:ascii="Roboto" w:cs="Roboto" w:eastAsia="Roboto" w:hAnsi="Roboto"/>
          <w:rtl w:val="0"/>
        </w:rPr>
        <w:t xml:space="preserve">Its autonomous AI agent continuously monitors social media activity, market sentiment, and cultural trends to identify emerging opportunities before they become widely recognized. The platform also enables users to launch tokens and participate in ecosystem activities through the native $MT token.</w:t>
      </w:r>
    </w:p>
    <w:p w:rsidR="00000000" w:rsidDel="00000000" w:rsidP="00000000" w:rsidRDefault="00000000" w:rsidRPr="00000000" w14:paraId="00000017">
      <w:pPr>
        <w:spacing w:after="200" w:lineRule="auto"/>
        <w:rPr>
          <w:rFonts w:ascii="Roboto" w:cs="Roboto" w:eastAsia="Roboto" w:hAnsi="Roboto"/>
        </w:rPr>
      </w:pPr>
      <w:hyperlink r:id="rId10">
        <w:r w:rsidDel="00000000" w:rsidR="00000000" w:rsidRPr="00000000">
          <w:rPr>
            <w:rFonts w:ascii="Roboto" w:cs="Roboto" w:eastAsia="Roboto" w:hAnsi="Roboto"/>
            <w:color w:val="1155cc"/>
            <w:u w:val="single"/>
          </w:rPr>
          <w:drawing>
            <wp:inline distB="114300" distT="114300" distL="114300" distR="114300">
              <wp:extent cx="5943600" cy="32004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200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pStyle w:val="Heading2"/>
        <w:spacing w:after="200" w:lineRule="auto"/>
        <w:rPr>
          <w:rFonts w:ascii="Roboto" w:cs="Roboto" w:eastAsia="Roboto" w:hAnsi="Roboto"/>
        </w:rPr>
      </w:pPr>
      <w:bookmarkStart w:colFirst="0" w:colLast="0" w:name="_c9kvzgu6bgk2" w:id="4"/>
      <w:bookmarkEnd w:id="4"/>
      <w:r w:rsidDel="00000000" w:rsidR="00000000" w:rsidRPr="00000000">
        <w:rPr>
          <w:rFonts w:ascii="Roboto" w:cs="Roboto" w:eastAsia="Roboto" w:hAnsi="Roboto"/>
          <w:rtl w:val="0"/>
        </w:rPr>
        <w:t xml:space="preserve">How to Complete Your $MT Token Purchase</w:t>
      </w:r>
    </w:p>
    <w:p w:rsidR="00000000" w:rsidDel="00000000" w:rsidP="00000000" w:rsidRDefault="00000000" w:rsidRPr="00000000" w14:paraId="00000019">
      <w:pPr>
        <w:spacing w:after="200" w:lineRule="auto"/>
        <w:rPr>
          <w:rFonts w:ascii="Roboto" w:cs="Roboto" w:eastAsia="Roboto" w:hAnsi="Roboto"/>
        </w:rPr>
      </w:pPr>
      <w:r w:rsidDel="00000000" w:rsidR="00000000" w:rsidRPr="00000000">
        <w:rPr>
          <w:rFonts w:ascii="Roboto" w:cs="Roboto" w:eastAsia="Roboto" w:hAnsi="Roboto"/>
          <w:rtl w:val="0"/>
        </w:rPr>
        <w:t xml:space="preserve">Connecting your personal wallet to the </w:t>
      </w:r>
      <w:hyperlink r:id="rId12">
        <w:r w:rsidDel="00000000" w:rsidR="00000000" w:rsidRPr="00000000">
          <w:rPr>
            <w:rFonts w:ascii="Roboto" w:cs="Roboto" w:eastAsia="Roboto" w:hAnsi="Roboto"/>
            <w:color w:val="1155cc"/>
            <w:u w:val="single"/>
            <w:rtl w:val="0"/>
          </w:rPr>
          <w:t xml:space="preserve">MemeToro presale</w:t>
        </w:r>
      </w:hyperlink>
      <w:r w:rsidDel="00000000" w:rsidR="00000000" w:rsidRPr="00000000">
        <w:rPr>
          <w:rFonts w:ascii="Roboto" w:cs="Roboto" w:eastAsia="Roboto" w:hAnsi="Roboto"/>
          <w:rtl w:val="0"/>
        </w:rPr>
        <w:t xml:space="preserve"> is safe and takes only a moment. Use this simple routine to swap your crypto for $MT tokens before the current pricing stage expires.</w:t>
      </w:r>
    </w:p>
    <w:p w:rsidR="00000000" w:rsidDel="00000000" w:rsidP="00000000" w:rsidRDefault="00000000" w:rsidRPr="00000000" w14:paraId="0000001A">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Get a secure decentralized wallet interface and make sure it is fully funded with active crypto assets like BNB or USDT.</w:t>
      </w:r>
    </w:p>
    <w:p w:rsidR="00000000" w:rsidDel="00000000" w:rsidP="00000000" w:rsidRDefault="00000000" w:rsidRPr="00000000" w14:paraId="0000001B">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Visit the official MemeToro domain and check the current live fundraising stage details to confirm the active $MT pricing.</w:t>
      </w:r>
    </w:p>
    <w:p w:rsidR="00000000" w:rsidDel="00000000" w:rsidP="00000000" w:rsidRDefault="00000000" w:rsidRPr="00000000" w14:paraId="0000001C">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Activate the secure digital wallet connection prompt to pair your software wallet with the decentralized MemeToro application network.</w:t>
      </w:r>
    </w:p>
    <w:p w:rsidR="00000000" w:rsidDel="00000000" w:rsidP="00000000" w:rsidRDefault="00000000" w:rsidRPr="00000000" w14:paraId="0000001D">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Enter the exact allocation size you want to buy using the payment asset selection fields provided online.</w:t>
      </w:r>
    </w:p>
    <w:p w:rsidR="00000000" w:rsidDel="00000000" w:rsidP="00000000" w:rsidRDefault="00000000" w:rsidRPr="00000000" w14:paraId="0000001E">
      <w:pPr>
        <w:numPr>
          <w:ilvl w:val="0"/>
          <w:numId w:val="1"/>
        </w:numPr>
        <w:spacing w:after="200" w:lineRule="auto"/>
        <w:ind w:left="720" w:hanging="360"/>
        <w:rPr>
          <w:rFonts w:ascii="Roboto" w:cs="Roboto" w:eastAsia="Roboto" w:hAnsi="Roboto"/>
        </w:rPr>
      </w:pPr>
      <w:r w:rsidDel="00000000" w:rsidR="00000000" w:rsidRPr="00000000">
        <w:rPr>
          <w:rFonts w:ascii="Roboto" w:cs="Roboto" w:eastAsia="Roboto" w:hAnsi="Roboto"/>
          <w:rtl w:val="0"/>
        </w:rPr>
        <w:t xml:space="preserve">Check your transaction details and click the processing option to prompt your personal wallet extension for authorization.</w:t>
      </w:r>
    </w:p>
    <w:p w:rsidR="00000000" w:rsidDel="00000000" w:rsidP="00000000" w:rsidRDefault="00000000" w:rsidRPr="00000000" w14:paraId="0000001F">
      <w:pPr>
        <w:spacing w:after="200" w:lineRule="auto"/>
        <w:rPr>
          <w:rFonts w:ascii="Roboto" w:cs="Roboto" w:eastAsia="Roboto" w:hAnsi="Roboto"/>
        </w:rPr>
      </w:pPr>
      <w:r w:rsidDel="00000000" w:rsidR="00000000" w:rsidRPr="00000000">
        <w:rPr>
          <w:rFonts w:ascii="Roboto" w:cs="Roboto" w:eastAsia="Roboto" w:hAnsi="Roboto"/>
          <w:rtl w:val="0"/>
        </w:rPr>
        <w:t xml:space="preserve">Confirm the network smart contract interaction to finalize your official entry into the high-yield $MT utility ecosystem.</w:t>
      </w:r>
    </w:p>
    <w:p w:rsidR="00000000" w:rsidDel="00000000" w:rsidP="00000000" w:rsidRDefault="00000000" w:rsidRPr="00000000" w14:paraId="00000020">
      <w:pPr>
        <w:spacing w:after="200" w:lineRule="auto"/>
        <w:rPr>
          <w:rFonts w:ascii="Roboto" w:cs="Roboto" w:eastAsia="Roboto" w:hAnsi="Roboto"/>
        </w:rPr>
      </w:pPr>
      <w:r w:rsidDel="00000000" w:rsidR="00000000" w:rsidRPr="00000000">
        <w:rPr>
          <w:rtl w:val="0"/>
        </w:rPr>
      </w:r>
    </w:p>
    <w:p w:rsidR="00000000" w:rsidDel="00000000" w:rsidP="00000000" w:rsidRDefault="00000000" w:rsidRPr="00000000" w14:paraId="00000021">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22">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3">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3">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4">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4">
      <w:pPr>
        <w:spacing w:after="200" w:lineRule="auto"/>
        <w:rPr/>
      </w:pPr>
      <w:r w:rsidDel="00000000" w:rsidR="00000000" w:rsidRPr="00000000">
        <w:rPr>
          <w:rFonts w:ascii="Roboto" w:cs="Roboto" w:eastAsia="Roboto" w:hAnsi="Roboto"/>
          <w:rtl w:val="0"/>
        </w:rPr>
        <w:t xml:space="preserve">Telegram: </w:t>
      </w:r>
      <w:hyperlink r:id="rId15">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memetoro.com" TargetMode="External"/><Relationship Id="rId13" Type="http://schemas.openxmlformats.org/officeDocument/2006/relationships/hyperlink" Target="https://memetoro.com/" TargetMode="External"/><Relationship Id="rId12" Type="http://schemas.openxmlformats.org/officeDocument/2006/relationships/hyperlink" Target="https://memetor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t.me/memetoro_mt" TargetMode="External"/><Relationship Id="rId14" Type="http://schemas.openxmlformats.org/officeDocument/2006/relationships/hyperlink" Target="https://x.com/memetoro_m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memetoro.com/" TargetMode="External"/><Relationship Id="rId8" Type="http://schemas.openxmlformats.org/officeDocument/2006/relationships/hyperlink" Target="https://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