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opbnvk1k1j0" w:id="0"/>
      <w:bookmarkEnd w:id="0"/>
      <w:r w:rsidDel="00000000" w:rsidR="00000000" w:rsidRPr="00000000">
        <w:rPr/>
        <w:drawing>
          <wp:inline distB="114300" distT="114300" distL="114300" distR="114300">
            <wp:extent cx="594360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Bitcoin, XRP, or HYPE: Where Could $50 Deliver the Best Outcome?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Grok has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said</w:t>
        </w:r>
      </w:hyperlink>
      <w:r w:rsidDel="00000000" w:rsidR="00000000" w:rsidRPr="00000000">
        <w:rPr>
          <w:rtl w:val="0"/>
        </w:rPr>
        <w:t xml:space="preserve"> Hyperliquid (HYPE) offers stronger upside potential than Bitcoin and XRP for those with $50. Meanwhile, another altcoin is already stealing the spotlight from HYPE.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Bitcoin boasts a $1.3 trillion cap and a price of  $64,000 as institutional adoption strengthens its position.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XRP is at $1.13, with a $70 billion market cap, and remains focused on payments and cross-border settlements. HYPE is at $67 and has surged into a major DeFi asset with a market value of $21 billion.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Grok noted that HYPE hit an all-time high at $76, outperforming several coins. The project's expansion beyond perpetual futures into DeFi services further strengthens its narrative.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gicqe3qpzbfx" w:id="1"/>
      <w:bookmarkEnd w:id="1"/>
      <w:r w:rsidDel="00000000" w:rsidR="00000000" w:rsidRPr="00000000">
        <w:rPr>
          <w:rtl w:val="0"/>
        </w:rPr>
        <w:t xml:space="preserve">Smaller-Cap Tokens to Offer Even Greater Upside?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Some believe smaller-cap projects may deliver larger upside due to lower valuations. One example is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Minotaurus (MTAUR),</w:t>
        </w:r>
      </w:hyperlink>
      <w:r w:rsidDel="00000000" w:rsidR="00000000" w:rsidRPr="00000000">
        <w:rPr>
          <w:rtl w:val="0"/>
        </w:rPr>
        <w:t xml:space="preserve"> which rose 220% from about 0.00004 to 0.0001279 USDT in recent months.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Supporters cite its relatively small market capitalization of 5.6 million USDT and planned exchange listings as potential drivers for moves to 0.012 USDT. They also pointed to a Coinsult Proof of Assets report that reviewed the project's presale wallet.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Grok's analysis suggests altcoins with lower valuation offer the strongest combination of momentum and upside potential than Bitcoin and XRP, which have large caps. </w:t>
      </w:r>
      <w:r w:rsidDel="00000000" w:rsidR="00000000" w:rsidRPr="00000000">
        <w:rPr>
          <w:b w:val="1"/>
          <w:bCs w:val="1"/>
          <w:rtl w:val="0"/>
        </w:rPr>
        <w:t xml:space="preserve">With smaller-cap projects like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Minotaurus breaking out,</w:t>
        </w:r>
      </w:hyperlink>
      <w:r w:rsidDel="00000000" w:rsidR="00000000" w:rsidRPr="00000000">
        <w:rPr>
          <w:b w:val="1"/>
          <w:bCs w:val="1"/>
          <w:rtl w:val="0"/>
        </w:rPr>
        <w:t xml:space="preserve"> it’s time to pay attention.</w:t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after="240" w:before="24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notaurus.io/?utm_source=bitcoinsistemi.com&amp;utm_campaign=uecvmxq8a8qwu21x9lsf&amp;PropertyValue=erdrkkcn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i/grok/share/14cb774496124f7b867b667a58fcb96c" TargetMode="External"/><Relationship Id="rId8" Type="http://schemas.openxmlformats.org/officeDocument/2006/relationships/hyperlink" Target="https://minotaurus.io/?utm_source=bitcoinsistemi.com&amp;utm_campaign=uecvmxq8a8qwu21x9lsf&amp;PropertyValue=erdrkk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