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ok5gd75zj48g" w:id="0"/>
      <w:bookmarkEnd w:id="0"/>
      <w:r w:rsidDel="00000000" w:rsidR="00000000" w:rsidRPr="00000000">
        <w:rPr>
          <w:rFonts w:ascii="Inter" w:cs="Inter" w:eastAsia="Inter" w:hAnsi="Inter"/>
          <w:rtl w:val="0"/>
        </w:rPr>
        <w:t xml:space="preserve">Best Crypto to Buy Now: MemeToro Builds AI Launchpad Code as MemeCore Holds Near $1.13</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MemeCore trades near $1.13 with an active market, while MemeToro is building a public AI launchpad in Stage 7. Here is how the two setups differ.</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MemeCore is trading near $1.13, with technical watchers focused on support around $1.1065 and resistance between $1.20 and $1.25. MemeToro is taking a very different path. It remains in Stage 7 at $0.00430 per $MT, with more than $137,000 raised while its AI-led launchpad is still being built.</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For readers looking for the best crypto to buy now, the comparison is not about which token has a better name. MemeCore offers an active market and existing trading history. </w:t>
      </w:r>
    </w:p>
    <w:p w:rsidR="00000000" w:rsidDel="00000000" w:rsidP="00000000" w:rsidRDefault="00000000" w:rsidRPr="00000000" w14:paraId="00000006">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offers a much earlier entry point and a product thesis built around AI proposals, open-source fair-launch rules, and planned BNB Chain utility. Both are speculative, but their risk and reward profiles are very different.</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w5mf1pkx0vuv" w:id="1"/>
      <w:bookmarkEnd w:id="1"/>
      <w:r w:rsidDel="00000000" w:rsidR="00000000" w:rsidRPr="00000000">
        <w:rPr>
          <w:rFonts w:ascii="Inter" w:cs="Inter" w:eastAsia="Inter" w:hAnsi="Inter"/>
          <w:rtl w:val="0"/>
        </w:rPr>
        <w:t xml:space="preserve">Exploring MemeToro’s AI Launchpad and $MT Utility</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a planned BNB Chain platform for researching, funding, and trading memecoins. Its AI agent is designed to scan public market, social, and news data before preparing a proposed token launch.</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agent creates a public launch manifest. This document is meant to show the evidence behind the idea, its proposed supply, fixed funding price, cap, and rules.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system then applies deterministic validation. It is designed to reject a proposal if source links were not collected, if allocations do not equal 100%, if insider allocation is above zero, or if the funding terms do not match the public manifest.</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$MT is intended to support platform access, funding, staking, rewards, memecoin trading, prediction markets, and a news portal. This gives MemeToro a planned utility model beyond simple speculation.</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The </w:t>
      </w:r>
      <w:hyperlink r:id="rId9">
        <w:r w:rsidDel="00000000" w:rsidR="00000000" w:rsidRPr="00000000">
          <w:rPr>
            <w:rFonts w:ascii="Inter" w:cs="Inter" w:eastAsia="Inter" w:hAnsi="Inter"/>
            <w:color w:val="1155cc"/>
            <w:u w:val="single"/>
            <w:rtl w:val="0"/>
          </w:rPr>
          <w:t xml:space="preserve">best crypto to buy now</w:t>
        </w:r>
      </w:hyperlink>
      <w:r w:rsidDel="00000000" w:rsidR="00000000" w:rsidRPr="00000000">
        <w:rPr>
          <w:rFonts w:ascii="Inter" w:cs="Inter" w:eastAsia="Inter" w:hAnsi="Inter"/>
          <w:rtl w:val="0"/>
        </w:rPr>
        <w:t xml:space="preserve"> often depends on whether a buyer wants a live asset with established price data or an earlier project where delivery could create more upside. MemeToro fits the second category, with higher risk and a potentially larger reward if the platform succeeds.</w:t>
      </w:r>
    </w:p>
    <w:p w:rsidR="00000000" w:rsidDel="00000000" w:rsidP="00000000" w:rsidRDefault="00000000" w:rsidRPr="00000000" w14:paraId="0000000D">
      <w:pPr>
        <w:pStyle w:val="Heading2"/>
        <w:spacing w:after="200" w:lineRule="auto"/>
        <w:rPr>
          <w:rFonts w:ascii="Inter" w:cs="Inter" w:eastAsia="Inter" w:hAnsi="Inter"/>
        </w:rPr>
      </w:pPr>
      <w:bookmarkStart w:colFirst="0" w:colLast="0" w:name="_fbtm514wz1iu" w:id="2"/>
      <w:bookmarkEnd w:id="2"/>
      <w:r w:rsidDel="00000000" w:rsidR="00000000" w:rsidRPr="00000000">
        <w:rPr>
          <w:rFonts w:ascii="Inter" w:cs="Inter" w:eastAsia="Inter" w:hAnsi="Inter"/>
          <w:rtl w:val="0"/>
        </w:rPr>
        <w:t xml:space="preserve">MemeCore Has A Live Market, But Its Price Still Needs Support</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MemeCore’s $M token is trading around $1.13 according to the supplied market data. Technical models place a short-term equilibrium near $1.1065, while the $1.20 to $1.25 area acts as a visible resistance zone.</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Some longer-term models have suggested a price near $1.76 over 12 months. Other market views link a larger valuation outcome to a possible $4 billion market cap if the sector enters another strong meme cycle.</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These are forecasts, not guarantees. MemeCore’s market remains affected by futures positioning, token liquidity, and broader market sentiment.</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The advantage of MemeCore is that users can buy and sell it in a live market. The downside is that a token with an existing price has already passed through part of its early discovery phase.</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MemeToro is not yet in that position. It has no live public market price, but its lower Stage 7 rate gives buyers a clearer early-stage comparison point.</w:t>
      </w:r>
    </w:p>
    <w:p w:rsidR="00000000" w:rsidDel="00000000" w:rsidP="00000000" w:rsidRDefault="00000000" w:rsidRPr="00000000" w14:paraId="00000013">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943600" cy="939800"/>
              <wp:effectExtent b="0" l="0" r="0" t="0"/>
              <wp:docPr id="2" name="image2.png"/>
              <a:graphic>
                <a:graphicData uri="http://schemas.openxmlformats.org/drawingml/2006/picture">
                  <pic:pic>
                    <pic:nvPicPr>
                      <pic:cNvPr id="0" name="image2.png"/>
                      <pic:cNvPicPr preferRelativeResize="0"/>
                    </pic:nvPicPr>
                    <pic:blipFill>
                      <a:blip r:embed="rId11"/>
                      <a:srcRect b="13555" l="0" r="0" t="7452"/>
                      <a:stretch>
                        <a:fillRect/>
                      </a:stretch>
                    </pic:blipFill>
                    <pic:spPr>
                      <a:xfrm>
                        <a:off x="0" y="0"/>
                        <a:ext cx="5943600" cy="939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4">
      <w:pPr>
        <w:pStyle w:val="Heading2"/>
        <w:spacing w:after="200" w:lineRule="auto"/>
        <w:rPr>
          <w:rFonts w:ascii="Inter" w:cs="Inter" w:eastAsia="Inter" w:hAnsi="Inter"/>
        </w:rPr>
      </w:pPr>
      <w:bookmarkStart w:colFirst="0" w:colLast="0" w:name="_3fuprbxmyds9" w:id="3"/>
      <w:bookmarkEnd w:id="3"/>
      <w:r w:rsidDel="00000000" w:rsidR="00000000" w:rsidRPr="00000000">
        <w:rPr>
          <w:rFonts w:ascii="Inter" w:cs="Inter" w:eastAsia="Inter" w:hAnsi="Inter"/>
          <w:rtl w:val="0"/>
        </w:rPr>
        <w:t xml:space="preserve">MemeToro’s Code Is Its Main Differentiator</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1,373 lines of Solidity across 17 files. Its key contract, FairLaunchEscrow.sol, is designed to hold funds for one memecoin round under fixed terms.</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contract locks round settings when the round begins. Its stated design has no owner, admin role, or upgrade path, which is intended to stop a team from changing the rules later.</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The allocation math is designed to prevent insider supply. Contributors and liquidity must account for the total supply, and any rounding remainder is meant to go to liquidity.</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contract also limits funds to refunds or the planned liquidity process. There is no stated route for a developer or treasury withdrawal.</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This is a bullish point for MemeToro. The project is trying to solve a common memecoin trust problem with code that can be inspected.</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live executor, liquidity connection, factory, testnet deployment, and independent security review are still pending. Buyers should see that as the main delivery risk.</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p86y7kuoiyry" w:id="4"/>
      <w:bookmarkEnd w:id="4"/>
      <w:r w:rsidDel="00000000" w:rsidR="00000000" w:rsidRPr="00000000">
        <w:rPr>
          <w:rFonts w:ascii="Inter" w:cs="Inter" w:eastAsia="Inter" w:hAnsi="Inter"/>
          <w:rtl w:val="0"/>
        </w:rPr>
        <w:t xml:space="preserve">Which Setup Fits Different Types Of Buyers?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MemeCore may suit traders who prefer active charts, existing liquidity, and clearly visible support and resistance levels. MemeToro may appeal to buyers who are comfortable with early-stage risk and want exposure to a planned AI launchpad.</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w:t>
      </w:r>
      <w:hyperlink r:id="rId12">
        <w:r w:rsidDel="00000000" w:rsidR="00000000" w:rsidRPr="00000000">
          <w:rPr>
            <w:rFonts w:ascii="Inter" w:cs="Inter" w:eastAsia="Inter" w:hAnsi="Inter"/>
            <w:color w:val="1155cc"/>
            <w:u w:val="single"/>
            <w:rtl w:val="0"/>
          </w:rPr>
          <w:t xml:space="preserve">best presale crypto</w:t>
        </w:r>
      </w:hyperlink>
      <w:r w:rsidDel="00000000" w:rsidR="00000000" w:rsidRPr="00000000">
        <w:rPr>
          <w:rFonts w:ascii="Inter" w:cs="Inter" w:eastAsia="Inter" w:hAnsi="Inter"/>
          <w:rtl w:val="0"/>
        </w:rPr>
        <w:t xml:space="preserve"> does not replace a live token for every investor. It offers a different type of opportunity, where the token price is lower because the main product is not fully delivered yet.</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MemeToro lists Coinsult, BlockSAFU, and SOLIDProof as audit or review providers. Combined with its open-source code, these are public trust signals that buyers can check.</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bullish case is that $MT could gain utility as the platform’s AI launch proposals, funding rounds, trading tools, and rewards system become active.</w:t>
      </w:r>
    </w:p>
    <w:p w:rsidR="00000000" w:rsidDel="00000000" w:rsidP="00000000" w:rsidRDefault="00000000" w:rsidRPr="00000000" w14:paraId="00000020">
      <w:pPr>
        <w:pStyle w:val="Heading2"/>
        <w:spacing w:after="200" w:lineRule="auto"/>
        <w:rPr>
          <w:rFonts w:ascii="Roboto" w:cs="Roboto" w:eastAsia="Roboto" w:hAnsi="Roboto"/>
        </w:rPr>
      </w:pPr>
      <w:bookmarkStart w:colFirst="0" w:colLast="0" w:name="_gvuhdza3n0q7" w:id="5"/>
      <w:bookmarkEnd w:id="5"/>
      <w:r w:rsidDel="00000000" w:rsidR="00000000" w:rsidRPr="00000000">
        <w:rPr>
          <w:rFonts w:ascii="Roboto" w:cs="Roboto" w:eastAsia="Roboto" w:hAnsi="Roboto"/>
          <w:rtl w:val="0"/>
        </w:rPr>
        <w:t xml:space="preserve">MemeToro Token Economics: What’s in It for Users</w:t>
      </w:r>
    </w:p>
    <w:p w:rsidR="00000000" w:rsidDel="00000000" w:rsidP="00000000" w:rsidRDefault="00000000" w:rsidRPr="00000000" w14:paraId="00000021">
      <w:pPr>
        <w:spacing w:after="200" w:lineRule="auto"/>
        <w:rPr>
          <w:rFonts w:ascii="Roboto" w:cs="Roboto" w:eastAsia="Roboto" w:hAnsi="Roboto"/>
        </w:rPr>
      </w:pPr>
      <w:r w:rsidDel="00000000" w:rsidR="00000000" w:rsidRPr="00000000">
        <w:rPr>
          <w:rFonts w:ascii="Roboto" w:cs="Roboto" w:eastAsia="Roboto" w:hAnsi="Roboto"/>
          <w:rtl w:val="0"/>
        </w:rPr>
        <w:t xml:space="preserve">The token distribution for the 1.2 billion total supply of $MT tokens is structured to align long-term platform utility with user participation. The verified smart contract is hosted at 0x44....a8cfff.</w:t>
      </w:r>
    </w:p>
    <w:p w:rsidR="00000000" w:rsidDel="00000000" w:rsidP="00000000" w:rsidRDefault="00000000" w:rsidRPr="00000000" w14:paraId="00000022">
      <w:pPr>
        <w:spacing w:after="200" w:lineRule="auto"/>
        <w:rPr>
          <w:rFonts w:ascii="Roboto" w:cs="Roboto" w:eastAsia="Roboto" w:hAnsi="Roboto"/>
        </w:rPr>
      </w:pPr>
      <w:r w:rsidDel="00000000" w:rsidR="00000000" w:rsidRPr="00000000">
        <w:rPr>
          <w:rFonts w:ascii="Roboto" w:cs="Roboto" w:eastAsia="Roboto" w:hAnsi="Roboto"/>
          <w:rtl w:val="0"/>
        </w:rPr>
        <w:t xml:space="preserve">Core Distribution Architecture:</w:t>
      </w:r>
    </w:p>
    <w:p w:rsidR="00000000" w:rsidDel="00000000" w:rsidP="00000000" w:rsidRDefault="00000000" w:rsidRPr="00000000" w14:paraId="00000023">
      <w:pPr>
        <w:numPr>
          <w:ilvl w:val="0"/>
          <w:numId w:val="1"/>
        </w:numPr>
        <w:spacing w:after="200" w:lineRule="auto"/>
        <w:ind w:left="720" w:hanging="360"/>
        <w:rPr>
          <w:rFonts w:ascii="Roboto" w:cs="Roboto" w:eastAsia="Roboto" w:hAnsi="Roboto"/>
        </w:rPr>
      </w:pPr>
      <w:r w:rsidDel="00000000" w:rsidR="00000000" w:rsidRPr="00000000">
        <w:rPr>
          <w:rFonts w:ascii="Roboto" w:cs="Roboto" w:eastAsia="Roboto" w:hAnsi="Roboto"/>
          <w:rtl w:val="0"/>
        </w:rPr>
        <w:t xml:space="preserve">Public Sale Allocation: 71% of the total supply goes to public buyers.</w:t>
      </w:r>
    </w:p>
    <w:p w:rsidR="00000000" w:rsidDel="00000000" w:rsidP="00000000" w:rsidRDefault="00000000" w:rsidRPr="00000000" w14:paraId="00000024">
      <w:pPr>
        <w:numPr>
          <w:ilvl w:val="0"/>
          <w:numId w:val="1"/>
        </w:numPr>
        <w:spacing w:after="200" w:lineRule="auto"/>
        <w:ind w:left="720" w:hanging="360"/>
        <w:rPr>
          <w:rFonts w:ascii="Roboto" w:cs="Roboto" w:eastAsia="Roboto" w:hAnsi="Roboto"/>
        </w:rPr>
      </w:pPr>
      <w:r w:rsidDel="00000000" w:rsidR="00000000" w:rsidRPr="00000000">
        <w:rPr>
          <w:rFonts w:ascii="Roboto" w:cs="Roboto" w:eastAsia="Roboto" w:hAnsi="Roboto"/>
          <w:rtl w:val="0"/>
        </w:rPr>
        <w:t xml:space="preserve">Exchange and Operations: 10% is held for exchange liquidity and 5% for platform trading.</w:t>
      </w:r>
    </w:p>
    <w:p w:rsidR="00000000" w:rsidDel="00000000" w:rsidP="00000000" w:rsidRDefault="00000000" w:rsidRPr="00000000" w14:paraId="00000025">
      <w:pPr>
        <w:numPr>
          <w:ilvl w:val="0"/>
          <w:numId w:val="1"/>
        </w:numPr>
        <w:spacing w:after="200" w:lineRule="auto"/>
        <w:ind w:left="720" w:hanging="360"/>
        <w:rPr>
          <w:rFonts w:ascii="Roboto" w:cs="Roboto" w:eastAsia="Roboto" w:hAnsi="Roboto"/>
        </w:rPr>
      </w:pPr>
      <w:r w:rsidDel="00000000" w:rsidR="00000000" w:rsidRPr="00000000">
        <w:rPr>
          <w:rFonts w:ascii="Roboto" w:cs="Roboto" w:eastAsia="Roboto" w:hAnsi="Roboto"/>
          <w:rtl w:val="0"/>
        </w:rPr>
        <w:t xml:space="preserve">Growth and Rewards: 7.56% goes to marketing partners and 4.44% to user rewards.</w:t>
      </w:r>
    </w:p>
    <w:p w:rsidR="00000000" w:rsidDel="00000000" w:rsidP="00000000" w:rsidRDefault="00000000" w:rsidRPr="00000000" w14:paraId="00000026">
      <w:pPr>
        <w:numPr>
          <w:ilvl w:val="0"/>
          <w:numId w:val="1"/>
        </w:numPr>
        <w:spacing w:after="200" w:lineRule="auto"/>
        <w:ind w:left="720" w:hanging="360"/>
        <w:rPr>
          <w:rFonts w:ascii="Roboto" w:cs="Roboto" w:eastAsia="Roboto" w:hAnsi="Roboto"/>
        </w:rPr>
      </w:pPr>
      <w:r w:rsidDel="00000000" w:rsidR="00000000" w:rsidRPr="00000000">
        <w:rPr>
          <w:rFonts w:ascii="Roboto" w:cs="Roboto" w:eastAsia="Roboto" w:hAnsi="Roboto"/>
          <w:rtl w:val="0"/>
        </w:rPr>
        <w:t xml:space="preserve">Team Retainment: 2% is reserved for the core development team.</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Roboto" w:cs="Roboto" w:eastAsia="Roboto" w:hAnsi="Roboto"/>
          <w:rtl w:val="0"/>
        </w:rPr>
        <w:t xml:space="preserve">To support structural stability, marketing and partner tokens undergo a 24-month vesting schedule. Presale purchases are completely exempt from vesting and are entirely distributable on the launch date. Verified holders can participate in the network's staking mechanism, which currently offers up to 35% APR in programmatic rewards.</w:t>
      </w:r>
      <w:r w:rsidDel="00000000" w:rsidR="00000000" w:rsidRPr="00000000">
        <w:rPr>
          <w:rtl w:val="0"/>
        </w:rPr>
      </w:r>
    </w:p>
    <w:p w:rsidR="00000000" w:rsidDel="00000000" w:rsidP="00000000" w:rsidRDefault="00000000" w:rsidRPr="00000000" w14:paraId="00000028">
      <w:pPr>
        <w:pStyle w:val="Heading2"/>
        <w:spacing w:after="200" w:lineRule="auto"/>
        <w:rPr>
          <w:rFonts w:ascii="Inter" w:cs="Inter" w:eastAsia="Inter" w:hAnsi="Inter"/>
        </w:rPr>
      </w:pPr>
      <w:bookmarkStart w:colFirst="0" w:colLast="0" w:name="_4ne76pfzeza7" w:id="6"/>
      <w:bookmarkEnd w:id="6"/>
      <w:r w:rsidDel="00000000" w:rsidR="00000000" w:rsidRPr="00000000">
        <w:rPr>
          <w:rFonts w:ascii="Inter" w:cs="Inter" w:eastAsia="Inter" w:hAnsi="Inter"/>
          <w:rtl w:val="0"/>
        </w:rPr>
        <w:t xml:space="preserve">FAQs</w:t>
      </w:r>
    </w:p>
    <w:p w:rsidR="00000000" w:rsidDel="00000000" w:rsidP="00000000" w:rsidRDefault="00000000" w:rsidRPr="00000000" w14:paraId="00000029">
      <w:pPr>
        <w:pStyle w:val="Heading3"/>
        <w:spacing w:after="200" w:lineRule="auto"/>
        <w:rPr>
          <w:rFonts w:ascii="Inter" w:cs="Inter" w:eastAsia="Inter" w:hAnsi="Inter"/>
        </w:rPr>
      </w:pPr>
      <w:bookmarkStart w:colFirst="0" w:colLast="0" w:name="_mj82mx73bbk2" w:id="7"/>
      <w:bookmarkEnd w:id="7"/>
      <w:r w:rsidDel="00000000" w:rsidR="00000000" w:rsidRPr="00000000">
        <w:rPr>
          <w:rFonts w:ascii="Inter" w:cs="Inter" w:eastAsia="Inter" w:hAnsi="Inter"/>
          <w:rtl w:val="0"/>
        </w:rPr>
        <w:t xml:space="preserve">Is MemeCore less risky than MemeToro?</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MemeCore has a live market and price history, while MemeToro is an early-stage presale. Both are speculative, but MemeToro has greater upside risk.</w:t>
      </w:r>
    </w:p>
    <w:p w:rsidR="00000000" w:rsidDel="00000000" w:rsidP="00000000" w:rsidRDefault="00000000" w:rsidRPr="00000000" w14:paraId="0000002B">
      <w:pPr>
        <w:pStyle w:val="Heading3"/>
        <w:spacing w:after="200" w:lineRule="auto"/>
        <w:rPr>
          <w:rFonts w:ascii="Inter" w:cs="Inter" w:eastAsia="Inter" w:hAnsi="Inter"/>
        </w:rPr>
      </w:pPr>
      <w:bookmarkStart w:colFirst="0" w:colLast="0" w:name="_we78fdwfv4qr" w:id="8"/>
      <w:bookmarkEnd w:id="8"/>
      <w:r w:rsidDel="00000000" w:rsidR="00000000" w:rsidRPr="00000000">
        <w:rPr>
          <w:rFonts w:ascii="Inter" w:cs="Inter" w:eastAsia="Inter" w:hAnsi="Inter"/>
          <w:rtl w:val="0"/>
        </w:rPr>
        <w:t xml:space="preserve">What gives $MT potential utility?</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$MT is intended for access, funding, staking, rewards, trading, prediction markets, and other planned MemeToro ecosystem features.</w:t>
      </w:r>
    </w:p>
    <w:p w:rsidR="00000000" w:rsidDel="00000000" w:rsidP="00000000" w:rsidRDefault="00000000" w:rsidRPr="00000000" w14:paraId="0000002D">
      <w:pPr>
        <w:pStyle w:val="Heading3"/>
        <w:spacing w:after="200" w:lineRule="auto"/>
        <w:rPr>
          <w:rFonts w:ascii="Inter" w:cs="Inter" w:eastAsia="Inter" w:hAnsi="Inter"/>
        </w:rPr>
      </w:pPr>
      <w:bookmarkStart w:colFirst="0" w:colLast="0" w:name="_6jvupev6kb8q" w:id="9"/>
      <w:bookmarkEnd w:id="9"/>
      <w:r w:rsidDel="00000000" w:rsidR="00000000" w:rsidRPr="00000000">
        <w:rPr>
          <w:rFonts w:ascii="Inter" w:cs="Inter" w:eastAsia="Inter" w:hAnsi="Inter"/>
          <w:rtl w:val="0"/>
        </w:rPr>
        <w:t xml:space="preserve">Is MemeToro’s $0.05186 target guaranteed?</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No. It is a displayed target, not a guaranteed trading or exchange price.</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3">
      <w:pPr>
        <w:spacing w:after="200" w:lineRule="auto"/>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