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8jn2tj5ib4j8" w:id="0"/>
      <w:bookmarkEnd w:id="0"/>
      <w:r w:rsidDel="00000000" w:rsidR="00000000" w:rsidRPr="00000000">
        <w:rPr>
          <w:rFonts w:ascii="Inter" w:cs="Inter" w:eastAsia="Inter" w:hAnsi="Inter"/>
          <w:rtl w:val="0"/>
        </w:rPr>
        <w:t xml:space="preserve">Best Memecoin to Buy: MemeToro’s Open Smart Contract Code Targets Fairer Launches for New Memecoin Traders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MemeToro’s public smart contract code targets fairer BNB Chain launches, giving new memecoin traders clearer rules to research before buying.</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Memecoin traders often face the same problem at launch: they may not know who received tokens first, whether the rules can be changed, or where the launch funds will go. A token can become popular quickly, but unclear allocation rules can create serious risks for early buyers. This is why public smart contract development is becoming more important.</w:t>
      </w:r>
    </w:p>
    <w:p w:rsidR="00000000" w:rsidDel="00000000" w:rsidP="00000000" w:rsidRDefault="00000000" w:rsidRPr="00000000" w14:paraId="00000005">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building a planned BNB Chain platform around this idea. The project has also published 1,373 lines of Solidity code across 17 files for a proposed fair-launch escrow system.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is still never guaranteed. However, MemeToro’s public code aims to give traders a clearer way to inspect the rules behind future token launches instead of trusting simple marketing claims.</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v7k2kkbotg30" w:id="1"/>
      <w:bookmarkEnd w:id="1"/>
      <w:r w:rsidDel="00000000" w:rsidR="00000000" w:rsidRPr="00000000">
        <w:rPr>
          <w:rFonts w:ascii="Inter" w:cs="Inter" w:eastAsia="Inter" w:hAnsi="Inter"/>
          <w:rtl w:val="0"/>
        </w:rPr>
        <w:t xml:space="preserve">What MemeToro’s Fair-Launch Code Is Designed to Do</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MemeToro’s public repository includes a FairLaunchEscrow contract, interfaces, tests, and documentation. The stated purpose is to help lock important token-launch terms at the beginning. This can reduce the chance that a creator changes the key deal after people send funds.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proposed code is designed around a simple fairness idea. Contributor and liquidity allocations should equal 100% of the fair-launch split. This is intended to leave no space for a hidden developer or insider allocation.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project’s stated contract protections include:</w:t>
      </w:r>
    </w:p>
    <w:p w:rsidR="00000000" w:rsidDel="00000000" w:rsidP="00000000" w:rsidRDefault="00000000" w:rsidRPr="00000000" w14:paraId="0000000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launch settings locked at creation</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insider allocation in the fair-launch split</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funds routed toward refunds or planned liquidity</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functions for claims, refunds, and finalization</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For new</w:t>
      </w:r>
      <w:hyperlink r:id="rId8">
        <w:r w:rsidDel="00000000" w:rsidR="00000000" w:rsidRPr="00000000">
          <w:rPr>
            <w:rFonts w:ascii="Inter" w:cs="Inter" w:eastAsia="Inter" w:hAnsi="Inter"/>
            <w:color w:val="1155cc"/>
            <w:u w:val="single"/>
            <w:rtl w:val="0"/>
          </w:rPr>
          <w:t xml:space="preserve"> memecoin traders</w:t>
        </w:r>
      </w:hyperlink>
      <w:r w:rsidDel="00000000" w:rsidR="00000000" w:rsidRPr="00000000">
        <w:rPr>
          <w:rFonts w:ascii="Inter" w:cs="Inter" w:eastAsia="Inter" w:hAnsi="Inter"/>
          <w:rtl w:val="0"/>
        </w:rPr>
        <w:t xml:space="preserve">, this may make a launch easier to understand. It cannot stop market volatility or ensure liquidity. The project also needs to complete deployment, testing, and independent security review. Still, open code provides a more transparent starting point than a launch page with no verifiable rules.</w:t>
      </w:r>
    </w:p>
    <w:p w:rsidR="00000000" w:rsidDel="00000000" w:rsidP="00000000" w:rsidRDefault="00000000" w:rsidRPr="00000000" w14:paraId="00000010">
      <w:pPr>
        <w:pStyle w:val="Heading2"/>
        <w:spacing w:after="200" w:lineRule="auto"/>
        <w:rPr>
          <w:rFonts w:ascii="Inter" w:cs="Inter" w:eastAsia="Inter" w:hAnsi="Inter"/>
        </w:rPr>
      </w:pPr>
      <w:bookmarkStart w:colFirst="0" w:colLast="0" w:name="_3qorz351syom" w:id="2"/>
      <w:bookmarkEnd w:id="2"/>
      <w:r w:rsidDel="00000000" w:rsidR="00000000" w:rsidRPr="00000000">
        <w:rPr>
          <w:rFonts w:ascii="Inter" w:cs="Inter" w:eastAsia="Inter" w:hAnsi="Inter"/>
          <w:rtl w:val="0"/>
        </w:rPr>
        <w:t xml:space="preserve">Why Testing Is Important Before a Fair Launch Goes Live</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Smart contracts must handle more than one outcome. A launch may reach its funding goal, fail to reach it, receive a claim request, or need to issue a refund. If the contract cannot handle these situations correctly, users may face losses or delays.</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MemeToro’s public release includes tests for funding caps, deadlines, claims, refunds, and bad contract inputs. Tests do not prove that code is perfect, but they show that the project is checking how the escrow model behaves under different conditions.</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This is especially important in memecoin markets, where users often make decisions quickly. A fair-launch contract should not depend on a creator being online to fix every issue. The proposed MemeToro design includes public actions so users can access processes such as claims and refunds under the stated conditions.</w:t>
      </w:r>
    </w:p>
    <w:p w:rsidR="00000000" w:rsidDel="00000000" w:rsidP="00000000" w:rsidRDefault="00000000" w:rsidRPr="00000000" w14:paraId="00000014">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736600"/>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7366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may have a strong community and a good concept, but traders should also check the technical rules. MemeToro’s open-code release gives users more information to review. The next step is proving that the same logic works safely in real BNB Chain conditions.</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umtzloptrtho" w:id="3"/>
      <w:bookmarkEnd w:id="3"/>
      <w:r w:rsidDel="00000000" w:rsidR="00000000" w:rsidRPr="00000000">
        <w:rPr>
          <w:rFonts w:ascii="Inter" w:cs="Inter" w:eastAsia="Inter" w:hAnsi="Inter"/>
          <w:rtl w:val="0"/>
        </w:rPr>
        <w:t xml:space="preserve">How $MT Could Support a More Active Trading Ecosystem</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$MT is planned as the utility token across the MemeToro ecosystem. It is intended to support premium access, platform transactions, launch funding, staking, rewards, and future</w:t>
      </w:r>
      <w:hyperlink r:id="rId11">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features. The project also lists prediction markets and a news hub in its roadmap.</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AI agent is intended to help creators prepare launch settings. The fair-launch contract is then designed to enforce the key terms. Traders could use the platform to review a launch, follow emerging tokens, and eventually trade them through the wider ecosystem.</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This creates a possible utility loop:</w:t>
      </w:r>
    </w:p>
    <w:p w:rsidR="00000000" w:rsidDel="00000000" w:rsidP="00000000" w:rsidRDefault="00000000" w:rsidRPr="00000000" w14:paraId="0000001A">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AI tools help prepare a launch</w:t>
      </w:r>
    </w:p>
    <w:p w:rsidR="00000000" w:rsidDel="00000000" w:rsidP="00000000" w:rsidRDefault="00000000" w:rsidRPr="00000000" w14:paraId="0000001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smart contracts make the rules visible</w:t>
      </w:r>
    </w:p>
    <w:p w:rsidR="00000000" w:rsidDel="00000000" w:rsidP="00000000" w:rsidRDefault="00000000" w:rsidRPr="00000000" w14:paraId="0000001C">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traders discover and follow new tokens</w:t>
      </w:r>
    </w:p>
    <w:p w:rsidR="00000000" w:rsidDel="00000000" w:rsidP="00000000" w:rsidRDefault="00000000" w:rsidRPr="00000000" w14:paraId="0000001D">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$MT supports platform participation</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The platform is still under development, so this loop is not active today. The bullish case depends on whether MemeToro can make the tools easy to use and bring enough creators and traders into the ecosystem. The risk is that open code alone may not be enough to create adoption.</w:t>
      </w:r>
    </w:p>
    <w:p w:rsidR="00000000" w:rsidDel="00000000" w:rsidP="00000000" w:rsidRDefault="00000000" w:rsidRPr="00000000" w14:paraId="0000001F">
      <w:pPr>
        <w:pStyle w:val="Heading2"/>
        <w:spacing w:after="200" w:lineRule="auto"/>
        <w:rPr>
          <w:rFonts w:ascii="Inter" w:cs="Inter" w:eastAsia="Inter" w:hAnsi="Inter"/>
        </w:rPr>
      </w:pPr>
      <w:bookmarkStart w:colFirst="0" w:colLast="0" w:name="_97u03y2lg3lz" w:id="4"/>
      <w:bookmarkEnd w:id="4"/>
      <w:r w:rsidDel="00000000" w:rsidR="00000000" w:rsidRPr="00000000">
        <w:rPr>
          <w:rFonts w:ascii="Inter" w:cs="Inter" w:eastAsia="Inter" w:hAnsi="Inter"/>
          <w:rtl w:val="0"/>
        </w:rPr>
        <w:t xml:space="preserve">Tokenomics and Staking Add Further $MT Considerations</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MemeToro has a 1.2 billion $MT total supply. The public-sale allocation is 857,936,900 tokens. </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Other allocations include 120 million for CEX reserves, 96 million for marketing and partners, 60 million for MemeToro trading, 53.28 million for network rewards, and 12.7831 million for the core team.</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The project states that public-sale tokens have no vesting and are intended to be claimable at launch. Marketing and partner allocations have a 24-month vesting schedule. This may reduce sudden selling pressure from that part of the supply, although it does not guarantee price stability.</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MemeToro also advertises staking rewards of up to 35% APR. These rewards may encourage participation, but they are not guaranteed income and can change. Buyers should read the tokenomics carefully and use the official </w:t>
      </w:r>
      <w:hyperlink r:id="rId12">
        <w:r w:rsidDel="00000000" w:rsidR="00000000" w:rsidRPr="00000000">
          <w:rPr>
            <w:rFonts w:ascii="Inter" w:cs="Inter" w:eastAsia="Inter" w:hAnsi="Inter"/>
            <w:color w:val="1155cc"/>
            <w:u w:val="single"/>
            <w:rtl w:val="0"/>
          </w:rPr>
          <w:t xml:space="preserve">MemeToro purchase guide</w:t>
        </w:r>
      </w:hyperlink>
      <w:r w:rsidDel="00000000" w:rsidR="00000000" w:rsidRPr="00000000">
        <w:rPr>
          <w:rFonts w:ascii="Inter" w:cs="Inter" w:eastAsia="Inter" w:hAnsi="Inter"/>
          <w:rtl w:val="0"/>
        </w:rPr>
        <w:t xml:space="preserve"> before joining Stage 7.</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memecoin" TargetMode="External"/><Relationship Id="rId10" Type="http://schemas.openxmlformats.org/officeDocument/2006/relationships/image" Target="media/image1.png"/><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memeco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